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B5F65">
        <w:trPr>
          <w:tblCellSpacing w:w="60" w:type="dxa"/>
        </w:trPr>
        <w:tc>
          <w:tcPr>
            <w:tcW w:w="1200" w:type="pct"/>
            <w:shd w:val="clear" w:color="auto" w:fill="E7F0F9"/>
          </w:tcPr>
          <w:p w:rsidR="000B5F65" w:rsidRDefault="0016462E">
            <w:pPr>
              <w:spacing w:after="0" w:line="240" w:lineRule="auto"/>
            </w:pPr>
            <w:r>
              <w:rPr>
                <w:b/>
              </w:rPr>
              <w:t>RKP broj</w:t>
            </w:r>
          </w:p>
        </w:tc>
        <w:tc>
          <w:tcPr>
            <w:tcW w:w="0" w:type="auto"/>
            <w:shd w:val="clear" w:color="auto" w:fill="E7F0F9"/>
          </w:tcPr>
          <w:p w:rsidR="000B5F65" w:rsidRDefault="0016462E">
            <w:pPr>
              <w:spacing w:after="0" w:line="240" w:lineRule="auto"/>
            </w:pPr>
            <w:r>
              <w:t>1087</w:t>
            </w:r>
          </w:p>
        </w:tc>
      </w:tr>
      <w:tr w:rsidR="000B5F65">
        <w:trPr>
          <w:tblCellSpacing w:w="60" w:type="dxa"/>
        </w:trPr>
        <w:tc>
          <w:tcPr>
            <w:tcW w:w="1200" w:type="pct"/>
            <w:shd w:val="clear" w:color="auto" w:fill="E7F0F9"/>
          </w:tcPr>
          <w:p w:rsidR="000B5F65" w:rsidRDefault="0016462E">
            <w:pPr>
              <w:spacing w:after="0" w:line="240" w:lineRule="auto"/>
            </w:pPr>
            <w:r>
              <w:rPr>
                <w:b/>
              </w:rPr>
              <w:t>Naziv obveznika</w:t>
            </w:r>
          </w:p>
        </w:tc>
        <w:tc>
          <w:tcPr>
            <w:tcW w:w="0" w:type="auto"/>
            <w:shd w:val="clear" w:color="auto" w:fill="E7F0F9"/>
          </w:tcPr>
          <w:p w:rsidR="000B5F65" w:rsidRDefault="0016462E">
            <w:pPr>
              <w:spacing w:after="0" w:line="240" w:lineRule="auto"/>
            </w:pPr>
            <w:r>
              <w:t>MINISTARSTVO MORA, PROMETA I INFRASTRUKTURE</w:t>
            </w:r>
          </w:p>
        </w:tc>
      </w:tr>
      <w:tr w:rsidR="000B5F65">
        <w:trPr>
          <w:tblCellSpacing w:w="60" w:type="dxa"/>
        </w:trPr>
        <w:tc>
          <w:tcPr>
            <w:tcW w:w="1200" w:type="pct"/>
            <w:shd w:val="clear" w:color="auto" w:fill="E7F0F9"/>
          </w:tcPr>
          <w:p w:rsidR="000B5F65" w:rsidRDefault="0016462E">
            <w:pPr>
              <w:spacing w:after="0" w:line="240" w:lineRule="auto"/>
            </w:pPr>
            <w:r>
              <w:rPr>
                <w:b/>
              </w:rPr>
              <w:t>Razina</w:t>
            </w:r>
          </w:p>
        </w:tc>
        <w:tc>
          <w:tcPr>
            <w:tcW w:w="0" w:type="auto"/>
            <w:shd w:val="clear" w:color="auto" w:fill="E7F0F9"/>
          </w:tcPr>
          <w:p w:rsidR="000B5F65" w:rsidRDefault="0016462E">
            <w:pPr>
              <w:spacing w:after="0" w:line="240" w:lineRule="auto"/>
            </w:pPr>
            <w:r>
              <w:t>11</w:t>
            </w:r>
          </w:p>
        </w:tc>
      </w:tr>
    </w:tbl>
    <w:p w:rsidR="000B5F65" w:rsidRDefault="0016462E">
      <w:r>
        <w:br/>
      </w:r>
    </w:p>
    <w:p w:rsidR="000B5F65" w:rsidRDefault="0016462E">
      <w:pPr>
        <w:spacing w:line="240" w:lineRule="auto"/>
        <w:jc w:val="center"/>
      </w:pPr>
      <w:r>
        <w:rPr>
          <w:b/>
          <w:sz w:val="28"/>
        </w:rPr>
        <w:t>BILJEŠKE UZ FINANCIJSKE IZVJEŠTAJE</w:t>
      </w:r>
    </w:p>
    <w:p w:rsidR="000B5F65" w:rsidRDefault="0016462E">
      <w:pPr>
        <w:spacing w:line="240" w:lineRule="auto"/>
        <w:jc w:val="center"/>
      </w:pPr>
      <w:r>
        <w:rPr>
          <w:b/>
          <w:sz w:val="28"/>
        </w:rPr>
        <w:t>ZA RAZDOBLJE</w:t>
      </w:r>
    </w:p>
    <w:p w:rsidR="000B5F65" w:rsidRDefault="0016462E">
      <w:pPr>
        <w:spacing w:line="240" w:lineRule="auto"/>
        <w:jc w:val="center"/>
      </w:pPr>
      <w:r>
        <w:rPr>
          <w:b/>
          <w:sz w:val="28"/>
        </w:rPr>
        <w:t>I - XII 2025.</w:t>
      </w:r>
    </w:p>
    <w:p w:rsidR="000B5F65" w:rsidRDefault="000B5F65"/>
    <w:p w:rsidR="000B5F65" w:rsidRDefault="0016462E">
      <w:pPr>
        <w:keepNext/>
        <w:spacing w:line="240" w:lineRule="auto"/>
        <w:jc w:val="center"/>
      </w:pPr>
      <w:r>
        <w:rPr>
          <w:b/>
          <w:sz w:val="28"/>
        </w:rPr>
        <w:t>Izvještaj o prihodima i rashodima, primicima i izdacima</w:t>
      </w:r>
    </w:p>
    <w:p w:rsidR="000B5F65" w:rsidRDefault="0016462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6</w:t>
            </w:r>
          </w:p>
        </w:tc>
        <w:tc>
          <w:tcPr>
            <w:tcW w:w="3180" w:type="dxa"/>
            <w:tcMar>
              <w:top w:w="0" w:type="dxa"/>
              <w:bottom w:w="0" w:type="dxa"/>
            </w:tcMar>
            <w:vAlign w:val="center"/>
          </w:tcPr>
          <w:p w:rsidR="000B5F65" w:rsidRDefault="0016462E">
            <w:pPr>
              <w:keepNext/>
              <w:keepLines/>
              <w:spacing w:after="0" w:line="240" w:lineRule="auto"/>
            </w:pPr>
            <w:r>
              <w:rPr>
                <w:sz w:val="18"/>
              </w:rPr>
              <w:t>PRIHODI POSLOVANJA (šifre 61+62+63+64+65+66+67+68)</w:t>
            </w:r>
          </w:p>
        </w:tc>
        <w:tc>
          <w:tcPr>
            <w:tcW w:w="700" w:type="dxa"/>
            <w:tcMar>
              <w:top w:w="0" w:type="dxa"/>
              <w:bottom w:w="0" w:type="dxa"/>
            </w:tcMar>
            <w:vAlign w:val="center"/>
          </w:tcPr>
          <w:p w:rsidR="000B5F65" w:rsidRDefault="0016462E">
            <w:pPr>
              <w:keepNext/>
              <w:keepLines/>
              <w:spacing w:after="0" w:line="240" w:lineRule="auto"/>
            </w:pPr>
            <w:r>
              <w:rPr>
                <w:sz w:val="18"/>
              </w:rPr>
              <w:t>6</w:t>
            </w:r>
          </w:p>
        </w:tc>
        <w:tc>
          <w:tcPr>
            <w:tcW w:w="1860" w:type="dxa"/>
            <w:tcMar>
              <w:top w:w="0" w:type="dxa"/>
              <w:bottom w:w="0" w:type="dxa"/>
            </w:tcMar>
            <w:vAlign w:val="center"/>
          </w:tcPr>
          <w:p w:rsidR="000B5F65" w:rsidRDefault="0016462E">
            <w:pPr>
              <w:keepNext/>
              <w:keepLines/>
              <w:spacing w:after="0" w:line="240" w:lineRule="auto"/>
              <w:jc w:val="right"/>
            </w:pPr>
            <w:r>
              <w:rPr>
                <w:sz w:val="18"/>
              </w:rPr>
              <w:t>1.127.427.288,88</w:t>
            </w:r>
          </w:p>
        </w:tc>
        <w:tc>
          <w:tcPr>
            <w:tcW w:w="1860" w:type="dxa"/>
            <w:tcMar>
              <w:top w:w="0" w:type="dxa"/>
              <w:bottom w:w="0" w:type="dxa"/>
            </w:tcMar>
            <w:vAlign w:val="center"/>
          </w:tcPr>
          <w:p w:rsidR="000B5F65" w:rsidRDefault="0016462E">
            <w:pPr>
              <w:keepNext/>
              <w:keepLines/>
              <w:spacing w:after="0" w:line="240" w:lineRule="auto"/>
              <w:jc w:val="right"/>
            </w:pPr>
            <w:r>
              <w:rPr>
                <w:sz w:val="18"/>
              </w:rPr>
              <w:t>1.276.210.976,05</w:t>
            </w:r>
          </w:p>
        </w:tc>
        <w:tc>
          <w:tcPr>
            <w:tcW w:w="700" w:type="dxa"/>
            <w:tcMar>
              <w:top w:w="0" w:type="dxa"/>
              <w:bottom w:w="0" w:type="dxa"/>
            </w:tcMar>
            <w:vAlign w:val="center"/>
          </w:tcPr>
          <w:p w:rsidR="000B5F65" w:rsidRDefault="0016462E">
            <w:pPr>
              <w:keepNext/>
              <w:keepLines/>
              <w:spacing w:after="0" w:line="240" w:lineRule="auto"/>
              <w:jc w:val="right"/>
            </w:pPr>
            <w:r>
              <w:rPr>
                <w:sz w:val="18"/>
              </w:rPr>
              <w:t>113,2</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3</w:t>
            </w:r>
          </w:p>
        </w:tc>
        <w:tc>
          <w:tcPr>
            <w:tcW w:w="3180" w:type="dxa"/>
            <w:tcMar>
              <w:top w:w="0" w:type="dxa"/>
              <w:bottom w:w="0" w:type="dxa"/>
            </w:tcMar>
            <w:vAlign w:val="center"/>
          </w:tcPr>
          <w:p w:rsidR="000B5F65" w:rsidRDefault="0016462E">
            <w:pPr>
              <w:keepNext/>
              <w:keepLines/>
              <w:spacing w:after="0" w:line="240" w:lineRule="auto"/>
            </w:pPr>
            <w:r>
              <w:rPr>
                <w:sz w:val="18"/>
              </w:rPr>
              <w:t>RASHODI POSLOVANJA (šifre 31+32+34+35+36+37+38)</w:t>
            </w:r>
          </w:p>
        </w:tc>
        <w:tc>
          <w:tcPr>
            <w:tcW w:w="700" w:type="dxa"/>
            <w:tcMar>
              <w:top w:w="0" w:type="dxa"/>
              <w:bottom w:w="0" w:type="dxa"/>
            </w:tcMar>
            <w:vAlign w:val="center"/>
          </w:tcPr>
          <w:p w:rsidR="000B5F65" w:rsidRDefault="0016462E">
            <w:pPr>
              <w:keepNext/>
              <w:keepLines/>
              <w:spacing w:after="0" w:line="240" w:lineRule="auto"/>
            </w:pPr>
            <w:r>
              <w:rPr>
                <w:sz w:val="18"/>
              </w:rPr>
              <w:t>3</w:t>
            </w:r>
          </w:p>
        </w:tc>
        <w:tc>
          <w:tcPr>
            <w:tcW w:w="1860" w:type="dxa"/>
            <w:tcMar>
              <w:top w:w="0" w:type="dxa"/>
              <w:bottom w:w="0" w:type="dxa"/>
            </w:tcMar>
            <w:vAlign w:val="center"/>
          </w:tcPr>
          <w:p w:rsidR="000B5F65" w:rsidRDefault="0016462E">
            <w:pPr>
              <w:keepNext/>
              <w:keepLines/>
              <w:spacing w:after="0" w:line="240" w:lineRule="auto"/>
              <w:jc w:val="right"/>
            </w:pPr>
            <w:r>
              <w:rPr>
                <w:sz w:val="18"/>
              </w:rPr>
              <w:t>1.216.804.356,83</w:t>
            </w:r>
          </w:p>
        </w:tc>
        <w:tc>
          <w:tcPr>
            <w:tcW w:w="1860" w:type="dxa"/>
            <w:tcMar>
              <w:top w:w="0" w:type="dxa"/>
              <w:bottom w:w="0" w:type="dxa"/>
            </w:tcMar>
            <w:vAlign w:val="center"/>
          </w:tcPr>
          <w:p w:rsidR="000B5F65" w:rsidRDefault="0016462E">
            <w:pPr>
              <w:keepNext/>
              <w:keepLines/>
              <w:spacing w:after="0" w:line="240" w:lineRule="auto"/>
              <w:jc w:val="right"/>
            </w:pPr>
            <w:r>
              <w:rPr>
                <w:sz w:val="18"/>
              </w:rPr>
              <w:t>1.368.720.409,57</w:t>
            </w:r>
          </w:p>
        </w:tc>
        <w:tc>
          <w:tcPr>
            <w:tcW w:w="700" w:type="dxa"/>
            <w:tcMar>
              <w:top w:w="0" w:type="dxa"/>
              <w:bottom w:w="0" w:type="dxa"/>
            </w:tcMar>
            <w:vAlign w:val="center"/>
          </w:tcPr>
          <w:p w:rsidR="000B5F65" w:rsidRDefault="0016462E">
            <w:pPr>
              <w:keepNext/>
              <w:keepLines/>
              <w:spacing w:after="0" w:line="240" w:lineRule="auto"/>
              <w:jc w:val="right"/>
            </w:pPr>
            <w:r>
              <w:rPr>
                <w:sz w:val="18"/>
              </w:rPr>
              <w:t>112,5</w:t>
            </w:r>
          </w:p>
        </w:tc>
      </w:tr>
      <w:tr w:rsidR="000B5F65">
        <w:trPr>
          <w:cantSplit/>
          <w:trHeight w:val="560"/>
        </w:trPr>
        <w:tc>
          <w:tcPr>
            <w:tcW w:w="700" w:type="dxa"/>
            <w:tcMar>
              <w:top w:w="0" w:type="dxa"/>
              <w:bottom w:w="0" w:type="dxa"/>
            </w:tcMar>
            <w:vAlign w:val="center"/>
          </w:tcPr>
          <w:p w:rsidR="000B5F65" w:rsidRDefault="000B5F65">
            <w:pPr>
              <w:keepNext/>
              <w:keepLines/>
              <w:spacing w:after="0" w:line="240" w:lineRule="auto"/>
            </w:pPr>
          </w:p>
        </w:tc>
        <w:tc>
          <w:tcPr>
            <w:tcW w:w="3180" w:type="dxa"/>
            <w:tcMar>
              <w:top w:w="0" w:type="dxa"/>
              <w:bottom w:w="0" w:type="dxa"/>
            </w:tcMar>
            <w:vAlign w:val="center"/>
          </w:tcPr>
          <w:p w:rsidR="000B5F65" w:rsidRDefault="0016462E">
            <w:pPr>
              <w:keepNext/>
              <w:keepLines/>
              <w:spacing w:after="0" w:line="240" w:lineRule="auto"/>
            </w:pPr>
            <w:r>
              <w:rPr>
                <w:b/>
                <w:sz w:val="18"/>
              </w:rPr>
              <w:t>MANJAK PRIHODA POSLOVANJA (šifre Z005-6)</w:t>
            </w:r>
          </w:p>
        </w:tc>
        <w:tc>
          <w:tcPr>
            <w:tcW w:w="700" w:type="dxa"/>
            <w:tcMar>
              <w:top w:w="0" w:type="dxa"/>
              <w:bottom w:w="0" w:type="dxa"/>
            </w:tcMar>
            <w:vAlign w:val="center"/>
          </w:tcPr>
          <w:p w:rsidR="000B5F65" w:rsidRDefault="0016462E">
            <w:pPr>
              <w:keepNext/>
              <w:keepLines/>
              <w:spacing w:after="0" w:line="240" w:lineRule="auto"/>
            </w:pPr>
            <w:r>
              <w:rPr>
                <w:b/>
                <w:sz w:val="18"/>
              </w:rPr>
              <w:t>Y001</w:t>
            </w:r>
          </w:p>
        </w:tc>
        <w:tc>
          <w:tcPr>
            <w:tcW w:w="1860" w:type="dxa"/>
            <w:tcMar>
              <w:top w:w="0" w:type="dxa"/>
              <w:bottom w:w="0" w:type="dxa"/>
            </w:tcMar>
            <w:vAlign w:val="center"/>
          </w:tcPr>
          <w:p w:rsidR="000B5F65" w:rsidRDefault="0016462E">
            <w:pPr>
              <w:keepNext/>
              <w:keepLines/>
              <w:spacing w:after="0" w:line="240" w:lineRule="auto"/>
              <w:jc w:val="right"/>
            </w:pPr>
            <w:r>
              <w:rPr>
                <w:b/>
                <w:sz w:val="18"/>
              </w:rPr>
              <w:t>89.377.067,95</w:t>
            </w:r>
          </w:p>
        </w:tc>
        <w:tc>
          <w:tcPr>
            <w:tcW w:w="1860" w:type="dxa"/>
            <w:tcMar>
              <w:top w:w="0" w:type="dxa"/>
              <w:bottom w:w="0" w:type="dxa"/>
            </w:tcMar>
            <w:vAlign w:val="center"/>
          </w:tcPr>
          <w:p w:rsidR="000B5F65" w:rsidRDefault="0016462E">
            <w:pPr>
              <w:keepNext/>
              <w:keepLines/>
              <w:spacing w:after="0" w:line="240" w:lineRule="auto"/>
              <w:jc w:val="right"/>
            </w:pPr>
            <w:r>
              <w:rPr>
                <w:b/>
                <w:sz w:val="18"/>
              </w:rPr>
              <w:t>92.509.433,52</w:t>
            </w:r>
          </w:p>
        </w:tc>
        <w:tc>
          <w:tcPr>
            <w:tcW w:w="700" w:type="dxa"/>
            <w:tcMar>
              <w:top w:w="0" w:type="dxa"/>
              <w:bottom w:w="0" w:type="dxa"/>
            </w:tcMar>
            <w:vAlign w:val="center"/>
          </w:tcPr>
          <w:p w:rsidR="000B5F65" w:rsidRDefault="0016462E">
            <w:pPr>
              <w:keepNext/>
              <w:keepLines/>
              <w:spacing w:after="0" w:line="240" w:lineRule="auto"/>
              <w:jc w:val="right"/>
            </w:pPr>
            <w:r>
              <w:rPr>
                <w:b/>
                <w:sz w:val="18"/>
              </w:rPr>
              <w:t>103,5</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7</w:t>
            </w:r>
          </w:p>
        </w:tc>
        <w:tc>
          <w:tcPr>
            <w:tcW w:w="3180" w:type="dxa"/>
            <w:tcMar>
              <w:top w:w="0" w:type="dxa"/>
              <w:bottom w:w="0" w:type="dxa"/>
            </w:tcMar>
            <w:vAlign w:val="center"/>
          </w:tcPr>
          <w:p w:rsidR="000B5F65" w:rsidRDefault="0016462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0B5F65" w:rsidRDefault="0016462E">
            <w:pPr>
              <w:keepNext/>
              <w:keepLines/>
              <w:spacing w:after="0" w:line="240" w:lineRule="auto"/>
            </w:pPr>
            <w:r>
              <w:rPr>
                <w:sz w:val="18"/>
              </w:rPr>
              <w:t>7</w:t>
            </w:r>
          </w:p>
        </w:tc>
        <w:tc>
          <w:tcPr>
            <w:tcW w:w="1860" w:type="dxa"/>
            <w:tcMar>
              <w:top w:w="0" w:type="dxa"/>
              <w:bottom w:w="0" w:type="dxa"/>
            </w:tcMar>
            <w:vAlign w:val="center"/>
          </w:tcPr>
          <w:p w:rsidR="000B5F65" w:rsidRDefault="0016462E">
            <w:pPr>
              <w:keepNext/>
              <w:keepLines/>
              <w:spacing w:after="0" w:line="240" w:lineRule="auto"/>
              <w:jc w:val="right"/>
            </w:pPr>
            <w:r>
              <w:rPr>
                <w:sz w:val="18"/>
              </w:rPr>
              <w:t>0,00</w:t>
            </w:r>
          </w:p>
        </w:tc>
        <w:tc>
          <w:tcPr>
            <w:tcW w:w="1860" w:type="dxa"/>
            <w:tcMar>
              <w:top w:w="0" w:type="dxa"/>
              <w:bottom w:w="0" w:type="dxa"/>
            </w:tcMar>
            <w:vAlign w:val="center"/>
          </w:tcPr>
          <w:p w:rsidR="000B5F65" w:rsidRDefault="0016462E">
            <w:pPr>
              <w:keepNext/>
              <w:keepLines/>
              <w:spacing w:after="0" w:line="240" w:lineRule="auto"/>
              <w:jc w:val="right"/>
            </w:pPr>
            <w:r>
              <w:rPr>
                <w:sz w:val="18"/>
              </w:rPr>
              <w:t>0,00</w:t>
            </w:r>
          </w:p>
        </w:tc>
        <w:tc>
          <w:tcPr>
            <w:tcW w:w="700" w:type="dxa"/>
            <w:tcMar>
              <w:top w:w="0" w:type="dxa"/>
              <w:bottom w:w="0" w:type="dxa"/>
            </w:tcMar>
            <w:vAlign w:val="center"/>
          </w:tcPr>
          <w:p w:rsidR="000B5F65" w:rsidRDefault="0016462E">
            <w:pPr>
              <w:keepNext/>
              <w:keepLines/>
              <w:spacing w:after="0" w:line="240" w:lineRule="auto"/>
              <w:jc w:val="right"/>
            </w:pPr>
            <w:r>
              <w:rPr>
                <w:sz w:val="18"/>
              </w:rPr>
              <w:t>-</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4</w:t>
            </w:r>
          </w:p>
        </w:tc>
        <w:tc>
          <w:tcPr>
            <w:tcW w:w="3180" w:type="dxa"/>
            <w:tcMar>
              <w:top w:w="0" w:type="dxa"/>
              <w:bottom w:w="0" w:type="dxa"/>
            </w:tcMar>
            <w:vAlign w:val="center"/>
          </w:tcPr>
          <w:p w:rsidR="000B5F65" w:rsidRDefault="0016462E">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0B5F65" w:rsidRDefault="0016462E">
            <w:pPr>
              <w:keepNext/>
              <w:keepLines/>
              <w:spacing w:after="0" w:line="240" w:lineRule="auto"/>
            </w:pPr>
            <w:r>
              <w:rPr>
                <w:sz w:val="18"/>
              </w:rPr>
              <w:t>4</w:t>
            </w:r>
          </w:p>
        </w:tc>
        <w:tc>
          <w:tcPr>
            <w:tcW w:w="1860" w:type="dxa"/>
            <w:tcMar>
              <w:top w:w="0" w:type="dxa"/>
              <w:bottom w:w="0" w:type="dxa"/>
            </w:tcMar>
            <w:vAlign w:val="center"/>
          </w:tcPr>
          <w:p w:rsidR="000B5F65" w:rsidRDefault="0016462E">
            <w:pPr>
              <w:keepNext/>
              <w:keepLines/>
              <w:spacing w:after="0" w:line="240" w:lineRule="auto"/>
              <w:jc w:val="right"/>
            </w:pPr>
            <w:r>
              <w:rPr>
                <w:sz w:val="18"/>
              </w:rPr>
              <w:t>10.062.397,49</w:t>
            </w:r>
          </w:p>
        </w:tc>
        <w:tc>
          <w:tcPr>
            <w:tcW w:w="1860" w:type="dxa"/>
            <w:tcMar>
              <w:top w:w="0" w:type="dxa"/>
              <w:bottom w:w="0" w:type="dxa"/>
            </w:tcMar>
            <w:vAlign w:val="center"/>
          </w:tcPr>
          <w:p w:rsidR="000B5F65" w:rsidRDefault="0016462E">
            <w:pPr>
              <w:keepNext/>
              <w:keepLines/>
              <w:spacing w:after="0" w:line="240" w:lineRule="auto"/>
              <w:jc w:val="right"/>
            </w:pPr>
            <w:r>
              <w:rPr>
                <w:sz w:val="18"/>
              </w:rPr>
              <w:t>18.287.862,14</w:t>
            </w:r>
          </w:p>
        </w:tc>
        <w:tc>
          <w:tcPr>
            <w:tcW w:w="700" w:type="dxa"/>
            <w:tcMar>
              <w:top w:w="0" w:type="dxa"/>
              <w:bottom w:w="0" w:type="dxa"/>
            </w:tcMar>
            <w:vAlign w:val="center"/>
          </w:tcPr>
          <w:p w:rsidR="000B5F65" w:rsidRDefault="0016462E">
            <w:pPr>
              <w:keepNext/>
              <w:keepLines/>
              <w:spacing w:after="0" w:line="240" w:lineRule="auto"/>
              <w:jc w:val="right"/>
            </w:pPr>
            <w:r>
              <w:rPr>
                <w:sz w:val="18"/>
              </w:rPr>
              <w:t>181,7</w:t>
            </w:r>
          </w:p>
        </w:tc>
      </w:tr>
      <w:tr w:rsidR="000B5F65">
        <w:trPr>
          <w:cantSplit/>
          <w:trHeight w:val="560"/>
        </w:trPr>
        <w:tc>
          <w:tcPr>
            <w:tcW w:w="700" w:type="dxa"/>
            <w:tcMar>
              <w:top w:w="0" w:type="dxa"/>
              <w:bottom w:w="0" w:type="dxa"/>
            </w:tcMar>
            <w:vAlign w:val="center"/>
          </w:tcPr>
          <w:p w:rsidR="000B5F65" w:rsidRDefault="000B5F65">
            <w:pPr>
              <w:keepNext/>
              <w:keepLines/>
              <w:spacing w:after="0" w:line="240" w:lineRule="auto"/>
            </w:pPr>
          </w:p>
        </w:tc>
        <w:tc>
          <w:tcPr>
            <w:tcW w:w="3180" w:type="dxa"/>
            <w:tcMar>
              <w:top w:w="0" w:type="dxa"/>
              <w:bottom w:w="0" w:type="dxa"/>
            </w:tcMar>
            <w:vAlign w:val="center"/>
          </w:tcPr>
          <w:p w:rsidR="000B5F65" w:rsidRDefault="0016462E">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0B5F65" w:rsidRDefault="0016462E">
            <w:pPr>
              <w:keepNext/>
              <w:keepLines/>
              <w:spacing w:after="0" w:line="240" w:lineRule="auto"/>
            </w:pPr>
            <w:r>
              <w:rPr>
                <w:b/>
                <w:sz w:val="18"/>
              </w:rPr>
              <w:t>Y002</w:t>
            </w:r>
          </w:p>
        </w:tc>
        <w:tc>
          <w:tcPr>
            <w:tcW w:w="1860" w:type="dxa"/>
            <w:tcMar>
              <w:top w:w="0" w:type="dxa"/>
              <w:bottom w:w="0" w:type="dxa"/>
            </w:tcMar>
            <w:vAlign w:val="center"/>
          </w:tcPr>
          <w:p w:rsidR="000B5F65" w:rsidRDefault="0016462E">
            <w:pPr>
              <w:keepNext/>
              <w:keepLines/>
              <w:spacing w:after="0" w:line="240" w:lineRule="auto"/>
              <w:jc w:val="right"/>
            </w:pPr>
            <w:r>
              <w:rPr>
                <w:b/>
                <w:sz w:val="18"/>
              </w:rPr>
              <w:t>10.062.397,49</w:t>
            </w:r>
          </w:p>
        </w:tc>
        <w:tc>
          <w:tcPr>
            <w:tcW w:w="1860" w:type="dxa"/>
            <w:tcMar>
              <w:top w:w="0" w:type="dxa"/>
              <w:bottom w:w="0" w:type="dxa"/>
            </w:tcMar>
            <w:vAlign w:val="center"/>
          </w:tcPr>
          <w:p w:rsidR="000B5F65" w:rsidRDefault="0016462E">
            <w:pPr>
              <w:keepNext/>
              <w:keepLines/>
              <w:spacing w:after="0" w:line="240" w:lineRule="auto"/>
              <w:jc w:val="right"/>
            </w:pPr>
            <w:r>
              <w:rPr>
                <w:b/>
                <w:sz w:val="18"/>
              </w:rPr>
              <w:t>18.287.862,14</w:t>
            </w:r>
          </w:p>
        </w:tc>
        <w:tc>
          <w:tcPr>
            <w:tcW w:w="700" w:type="dxa"/>
            <w:tcMar>
              <w:top w:w="0" w:type="dxa"/>
              <w:bottom w:w="0" w:type="dxa"/>
            </w:tcMar>
            <w:vAlign w:val="center"/>
          </w:tcPr>
          <w:p w:rsidR="000B5F65" w:rsidRDefault="0016462E">
            <w:pPr>
              <w:keepNext/>
              <w:keepLines/>
              <w:spacing w:after="0" w:line="240" w:lineRule="auto"/>
              <w:jc w:val="right"/>
            </w:pPr>
            <w:r>
              <w:rPr>
                <w:b/>
                <w:sz w:val="18"/>
              </w:rPr>
              <w:t>181,7</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8</w:t>
            </w:r>
          </w:p>
        </w:tc>
        <w:tc>
          <w:tcPr>
            <w:tcW w:w="3180" w:type="dxa"/>
            <w:tcMar>
              <w:top w:w="0" w:type="dxa"/>
              <w:bottom w:w="0" w:type="dxa"/>
            </w:tcMar>
            <w:vAlign w:val="center"/>
          </w:tcPr>
          <w:p w:rsidR="000B5F65" w:rsidRDefault="0016462E">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0B5F65" w:rsidRDefault="0016462E">
            <w:pPr>
              <w:keepNext/>
              <w:keepLines/>
              <w:spacing w:after="0" w:line="240" w:lineRule="auto"/>
            </w:pPr>
            <w:r>
              <w:rPr>
                <w:sz w:val="18"/>
              </w:rPr>
              <w:t>8</w:t>
            </w:r>
          </w:p>
        </w:tc>
        <w:tc>
          <w:tcPr>
            <w:tcW w:w="1860" w:type="dxa"/>
            <w:tcMar>
              <w:top w:w="0" w:type="dxa"/>
              <w:bottom w:w="0" w:type="dxa"/>
            </w:tcMar>
            <w:vAlign w:val="center"/>
          </w:tcPr>
          <w:p w:rsidR="000B5F65" w:rsidRDefault="0016462E">
            <w:pPr>
              <w:keepNext/>
              <w:keepLines/>
              <w:spacing w:after="0" w:line="240" w:lineRule="auto"/>
              <w:jc w:val="right"/>
            </w:pPr>
            <w:r>
              <w:rPr>
                <w:sz w:val="18"/>
              </w:rPr>
              <w:t>108.500.000,00</w:t>
            </w:r>
          </w:p>
        </w:tc>
        <w:tc>
          <w:tcPr>
            <w:tcW w:w="1860" w:type="dxa"/>
            <w:tcMar>
              <w:top w:w="0" w:type="dxa"/>
              <w:bottom w:w="0" w:type="dxa"/>
            </w:tcMar>
            <w:vAlign w:val="center"/>
          </w:tcPr>
          <w:p w:rsidR="000B5F65" w:rsidRDefault="0016462E">
            <w:pPr>
              <w:keepNext/>
              <w:keepLines/>
              <w:spacing w:after="0" w:line="240" w:lineRule="auto"/>
              <w:jc w:val="right"/>
            </w:pPr>
            <w:r>
              <w:rPr>
                <w:sz w:val="18"/>
              </w:rPr>
              <w:t>134.215.570,17</w:t>
            </w:r>
          </w:p>
        </w:tc>
        <w:tc>
          <w:tcPr>
            <w:tcW w:w="700" w:type="dxa"/>
            <w:tcMar>
              <w:top w:w="0" w:type="dxa"/>
              <w:bottom w:w="0" w:type="dxa"/>
            </w:tcMar>
            <w:vAlign w:val="center"/>
          </w:tcPr>
          <w:p w:rsidR="000B5F65" w:rsidRDefault="0016462E">
            <w:pPr>
              <w:keepNext/>
              <w:keepLines/>
              <w:spacing w:after="0" w:line="240" w:lineRule="auto"/>
              <w:jc w:val="right"/>
            </w:pPr>
            <w:r>
              <w:rPr>
                <w:sz w:val="18"/>
              </w:rPr>
              <w:t>123,7</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5</w:t>
            </w:r>
          </w:p>
        </w:tc>
        <w:tc>
          <w:tcPr>
            <w:tcW w:w="3180" w:type="dxa"/>
            <w:tcMar>
              <w:top w:w="0" w:type="dxa"/>
              <w:bottom w:w="0" w:type="dxa"/>
            </w:tcMar>
            <w:vAlign w:val="center"/>
          </w:tcPr>
          <w:p w:rsidR="000B5F65" w:rsidRDefault="0016462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0B5F65" w:rsidRDefault="0016462E">
            <w:pPr>
              <w:keepNext/>
              <w:keepLines/>
              <w:spacing w:after="0" w:line="240" w:lineRule="auto"/>
            </w:pPr>
            <w:r>
              <w:rPr>
                <w:sz w:val="18"/>
              </w:rPr>
              <w:t>5</w:t>
            </w:r>
          </w:p>
        </w:tc>
        <w:tc>
          <w:tcPr>
            <w:tcW w:w="1860" w:type="dxa"/>
            <w:tcMar>
              <w:top w:w="0" w:type="dxa"/>
              <w:bottom w:w="0" w:type="dxa"/>
            </w:tcMar>
            <w:vAlign w:val="center"/>
          </w:tcPr>
          <w:p w:rsidR="000B5F65" w:rsidRDefault="0016462E">
            <w:pPr>
              <w:keepNext/>
              <w:keepLines/>
              <w:spacing w:after="0" w:line="240" w:lineRule="auto"/>
              <w:jc w:val="right"/>
            </w:pPr>
            <w:r>
              <w:rPr>
                <w:sz w:val="18"/>
              </w:rPr>
              <w:t>720.749,60</w:t>
            </w:r>
          </w:p>
        </w:tc>
        <w:tc>
          <w:tcPr>
            <w:tcW w:w="1860" w:type="dxa"/>
            <w:tcMar>
              <w:top w:w="0" w:type="dxa"/>
              <w:bottom w:w="0" w:type="dxa"/>
            </w:tcMar>
            <w:vAlign w:val="center"/>
          </w:tcPr>
          <w:p w:rsidR="000B5F65" w:rsidRDefault="0016462E">
            <w:pPr>
              <w:keepNext/>
              <w:keepLines/>
              <w:spacing w:after="0" w:line="240" w:lineRule="auto"/>
              <w:jc w:val="right"/>
            </w:pPr>
            <w:r>
              <w:rPr>
                <w:sz w:val="18"/>
              </w:rPr>
              <w:t>28.169.765,10</w:t>
            </w:r>
          </w:p>
        </w:tc>
        <w:tc>
          <w:tcPr>
            <w:tcW w:w="700" w:type="dxa"/>
            <w:tcMar>
              <w:top w:w="0" w:type="dxa"/>
              <w:bottom w:w="0" w:type="dxa"/>
            </w:tcMar>
            <w:vAlign w:val="center"/>
          </w:tcPr>
          <w:p w:rsidR="000B5F65" w:rsidRDefault="0016462E">
            <w:pPr>
              <w:keepNext/>
              <w:keepLines/>
              <w:spacing w:after="0" w:line="240" w:lineRule="auto"/>
              <w:jc w:val="right"/>
            </w:pPr>
            <w:r>
              <w:rPr>
                <w:sz w:val="18"/>
              </w:rPr>
              <w:t>3908,4</w:t>
            </w:r>
          </w:p>
        </w:tc>
      </w:tr>
      <w:tr w:rsidR="000B5F65">
        <w:trPr>
          <w:cantSplit/>
          <w:trHeight w:val="560"/>
        </w:trPr>
        <w:tc>
          <w:tcPr>
            <w:tcW w:w="700" w:type="dxa"/>
            <w:tcMar>
              <w:top w:w="0" w:type="dxa"/>
              <w:bottom w:w="0" w:type="dxa"/>
            </w:tcMar>
            <w:vAlign w:val="center"/>
          </w:tcPr>
          <w:p w:rsidR="000B5F65" w:rsidRDefault="000B5F65">
            <w:pPr>
              <w:keepNext/>
              <w:keepLines/>
              <w:spacing w:after="0" w:line="240" w:lineRule="auto"/>
            </w:pPr>
          </w:p>
        </w:tc>
        <w:tc>
          <w:tcPr>
            <w:tcW w:w="3180" w:type="dxa"/>
            <w:tcMar>
              <w:top w:w="0" w:type="dxa"/>
              <w:bottom w:w="0" w:type="dxa"/>
            </w:tcMar>
            <w:vAlign w:val="center"/>
          </w:tcPr>
          <w:p w:rsidR="000B5F65" w:rsidRDefault="0016462E">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0B5F65" w:rsidRDefault="0016462E">
            <w:pPr>
              <w:keepNext/>
              <w:keepLines/>
              <w:spacing w:after="0" w:line="240" w:lineRule="auto"/>
            </w:pPr>
            <w:r>
              <w:rPr>
                <w:b/>
                <w:sz w:val="18"/>
              </w:rPr>
              <w:t>X003</w:t>
            </w:r>
          </w:p>
        </w:tc>
        <w:tc>
          <w:tcPr>
            <w:tcW w:w="1860" w:type="dxa"/>
            <w:tcMar>
              <w:top w:w="0" w:type="dxa"/>
              <w:bottom w:w="0" w:type="dxa"/>
            </w:tcMar>
            <w:vAlign w:val="center"/>
          </w:tcPr>
          <w:p w:rsidR="000B5F65" w:rsidRDefault="0016462E">
            <w:pPr>
              <w:keepNext/>
              <w:keepLines/>
              <w:spacing w:after="0" w:line="240" w:lineRule="auto"/>
              <w:jc w:val="right"/>
            </w:pPr>
            <w:r>
              <w:rPr>
                <w:b/>
                <w:sz w:val="18"/>
              </w:rPr>
              <w:t>107.779.250,40</w:t>
            </w:r>
          </w:p>
        </w:tc>
        <w:tc>
          <w:tcPr>
            <w:tcW w:w="1860" w:type="dxa"/>
            <w:tcMar>
              <w:top w:w="0" w:type="dxa"/>
              <w:bottom w:w="0" w:type="dxa"/>
            </w:tcMar>
            <w:vAlign w:val="center"/>
          </w:tcPr>
          <w:p w:rsidR="000B5F65" w:rsidRDefault="0016462E">
            <w:pPr>
              <w:keepNext/>
              <w:keepLines/>
              <w:spacing w:after="0" w:line="240" w:lineRule="auto"/>
              <w:jc w:val="right"/>
            </w:pPr>
            <w:r>
              <w:rPr>
                <w:b/>
                <w:sz w:val="18"/>
              </w:rPr>
              <w:t>106.045.805,07</w:t>
            </w:r>
          </w:p>
        </w:tc>
        <w:tc>
          <w:tcPr>
            <w:tcW w:w="700" w:type="dxa"/>
            <w:tcMar>
              <w:top w:w="0" w:type="dxa"/>
              <w:bottom w:w="0" w:type="dxa"/>
            </w:tcMar>
            <w:vAlign w:val="center"/>
          </w:tcPr>
          <w:p w:rsidR="000B5F65" w:rsidRDefault="0016462E">
            <w:pPr>
              <w:keepNext/>
              <w:keepLines/>
              <w:spacing w:after="0" w:line="240" w:lineRule="auto"/>
              <w:jc w:val="right"/>
            </w:pPr>
            <w:r>
              <w:rPr>
                <w:b/>
                <w:sz w:val="18"/>
              </w:rPr>
              <w:t>98,4</w:t>
            </w:r>
          </w:p>
        </w:tc>
      </w:tr>
      <w:tr w:rsidR="000B5F65">
        <w:trPr>
          <w:cantSplit/>
          <w:trHeight w:val="560"/>
        </w:trPr>
        <w:tc>
          <w:tcPr>
            <w:tcW w:w="700" w:type="dxa"/>
            <w:tcMar>
              <w:top w:w="0" w:type="dxa"/>
              <w:bottom w:w="0" w:type="dxa"/>
            </w:tcMar>
            <w:vAlign w:val="center"/>
          </w:tcPr>
          <w:p w:rsidR="000B5F65" w:rsidRDefault="000B5F65">
            <w:pPr>
              <w:keepNext/>
              <w:keepLines/>
              <w:spacing w:after="0" w:line="240" w:lineRule="auto"/>
            </w:pPr>
          </w:p>
        </w:tc>
        <w:tc>
          <w:tcPr>
            <w:tcW w:w="3180" w:type="dxa"/>
            <w:tcMar>
              <w:top w:w="0" w:type="dxa"/>
              <w:bottom w:w="0" w:type="dxa"/>
            </w:tcMar>
            <w:vAlign w:val="center"/>
          </w:tcPr>
          <w:p w:rsidR="000B5F65" w:rsidRDefault="0016462E">
            <w:pPr>
              <w:keepNext/>
              <w:keepLines/>
              <w:spacing w:after="0" w:line="240" w:lineRule="auto"/>
            </w:pPr>
            <w:r>
              <w:rPr>
                <w:b/>
                <w:sz w:val="18"/>
              </w:rPr>
              <w:t>MANJAK PRIHODA I PRIMITAKA (šifre Y345-X678)</w:t>
            </w:r>
          </w:p>
        </w:tc>
        <w:tc>
          <w:tcPr>
            <w:tcW w:w="700" w:type="dxa"/>
            <w:tcMar>
              <w:top w:w="0" w:type="dxa"/>
              <w:bottom w:w="0" w:type="dxa"/>
            </w:tcMar>
            <w:vAlign w:val="center"/>
          </w:tcPr>
          <w:p w:rsidR="000B5F65" w:rsidRDefault="0016462E">
            <w:pPr>
              <w:keepNext/>
              <w:keepLines/>
              <w:spacing w:after="0" w:line="240" w:lineRule="auto"/>
            </w:pPr>
            <w:r>
              <w:rPr>
                <w:b/>
                <w:sz w:val="18"/>
              </w:rPr>
              <w:t>Y005</w:t>
            </w:r>
          </w:p>
        </w:tc>
        <w:tc>
          <w:tcPr>
            <w:tcW w:w="1860" w:type="dxa"/>
            <w:tcMar>
              <w:top w:w="0" w:type="dxa"/>
              <w:bottom w:w="0" w:type="dxa"/>
            </w:tcMar>
            <w:vAlign w:val="center"/>
          </w:tcPr>
          <w:p w:rsidR="000B5F65" w:rsidRDefault="0016462E">
            <w:pPr>
              <w:keepNext/>
              <w:keepLines/>
              <w:spacing w:after="0" w:line="240" w:lineRule="auto"/>
              <w:jc w:val="right"/>
            </w:pPr>
            <w:r>
              <w:rPr>
                <w:b/>
                <w:sz w:val="18"/>
              </w:rPr>
              <w:t>0,00</w:t>
            </w:r>
          </w:p>
        </w:tc>
        <w:tc>
          <w:tcPr>
            <w:tcW w:w="1860" w:type="dxa"/>
            <w:tcMar>
              <w:top w:w="0" w:type="dxa"/>
              <w:bottom w:w="0" w:type="dxa"/>
            </w:tcMar>
            <w:vAlign w:val="center"/>
          </w:tcPr>
          <w:p w:rsidR="000B5F65" w:rsidRDefault="0016462E">
            <w:pPr>
              <w:keepNext/>
              <w:keepLines/>
              <w:spacing w:after="0" w:line="240" w:lineRule="auto"/>
              <w:jc w:val="right"/>
            </w:pPr>
            <w:r>
              <w:rPr>
                <w:b/>
                <w:sz w:val="18"/>
              </w:rPr>
              <w:t>4.751.490,59</w:t>
            </w:r>
          </w:p>
        </w:tc>
        <w:tc>
          <w:tcPr>
            <w:tcW w:w="700" w:type="dxa"/>
            <w:tcMar>
              <w:top w:w="0" w:type="dxa"/>
              <w:bottom w:w="0" w:type="dxa"/>
            </w:tcMar>
            <w:vAlign w:val="center"/>
          </w:tcPr>
          <w:p w:rsidR="000B5F65" w:rsidRDefault="0016462E">
            <w:pPr>
              <w:keepNext/>
              <w:keepLines/>
              <w:spacing w:after="0" w:line="240" w:lineRule="auto"/>
              <w:jc w:val="right"/>
            </w:pPr>
            <w:r>
              <w:rPr>
                <w:b/>
                <w:sz w:val="18"/>
              </w:rPr>
              <w:t>-</w:t>
            </w:r>
          </w:p>
        </w:tc>
      </w:tr>
    </w:tbl>
    <w:p w:rsidR="000B5F65" w:rsidRDefault="000B5F65">
      <w:pPr>
        <w:spacing w:after="0"/>
      </w:pPr>
    </w:p>
    <w:p w:rsidR="000B5F65" w:rsidRDefault="0016462E">
      <w:r>
        <w:t xml:space="preserve">U 2025. godini ostvaren je manjak prihoda i primitaka u iznosu od 4.751.490,59 EUR. Na izvoru 11 ostvaren je manjak u iznosu od 19.230.275,46 EUR. Budući da je ukinuta podskupina konta 193 Kontinuirani rashodi budućih razdoblja, rashodi su evidentirani u 2025. na A587082 Izuzeto javno dobro za obveze koje dospijevaju u 2026. i 2027. godini (21,4 </w:t>
      </w:r>
      <w:proofErr w:type="spellStart"/>
      <w:r>
        <w:t>mil</w:t>
      </w:r>
      <w:proofErr w:type="spellEnd"/>
      <w:r>
        <w:t xml:space="preserve"> EUR), a prema Odluci o prihvaćanju nagodbe između Republike Hrvatske i društva HŽ </w:t>
      </w:r>
      <w:proofErr w:type="spellStart"/>
      <w:r>
        <w:t>Cargo</w:t>
      </w:r>
      <w:proofErr w:type="spellEnd"/>
      <w:r>
        <w:t xml:space="preserve"> d.o.o.</w:t>
      </w:r>
    </w:p>
    <w:p w:rsidR="000B5F65" w:rsidRDefault="0016462E">
      <w:r>
        <w:lastRenderedPageBreak/>
        <w:t>Na izvoru 12 ostvaren je višak prihoda u iznosu od 2.252.997,64 EUR (isplaćeni su avansi). Na izvoru 31 ostvaren je manjak prihoda u iznosu od 2.789,36 EUR. Na izvoru 43 ostvaren je višak prihoda u iznosu od 395.628,71 EUR. Na izvoru 51 ostvaren je manjak prihoda u iznosu od 264.529,42 EUR. Na izvoru 559 ostvaren je višak u iznosu od 4.439,96 EUR. Na izvoru 52 ostvaren je višak prihoda u iznosu od 379.156,46 EUR (MUP je Ministarstvu prenio sredstva u iznosu od 1.146.500,00 EUR, a utrošeno je 767.343,54 EUR).</w:t>
      </w:r>
    </w:p>
    <w:p w:rsidR="000B5F65" w:rsidRDefault="0016462E">
      <w:r>
        <w:t>Na izvorima 562, 563 i 581 ostvaren je višak prihoda u iznosu od 22.239.310,71 EUR – isplaćeni su avansi. Na izvoru 810 ostvaren je manjak u iznosu od 10.525.429,83 EUR (iz 2024. prenesen je višak primitaka od financijske imovine u iznosu od 10.525.429,83 EUR koji je trošen u 2025. godini).</w:t>
      </w:r>
    </w:p>
    <w:p w:rsidR="000B5F65" w:rsidRDefault="0016462E">
      <w:r>
        <w:br/>
      </w:r>
    </w:p>
    <w:p w:rsidR="000B5F65" w:rsidRDefault="0016462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63</w:t>
            </w:r>
          </w:p>
        </w:tc>
        <w:tc>
          <w:tcPr>
            <w:tcW w:w="3180" w:type="dxa"/>
            <w:tcMar>
              <w:top w:w="0" w:type="dxa"/>
              <w:bottom w:w="0" w:type="dxa"/>
            </w:tcMar>
            <w:vAlign w:val="center"/>
          </w:tcPr>
          <w:p w:rsidR="000B5F65" w:rsidRDefault="0016462E">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0B5F65" w:rsidRDefault="0016462E">
            <w:pPr>
              <w:keepNext/>
              <w:keepLines/>
              <w:spacing w:after="0" w:line="240" w:lineRule="auto"/>
            </w:pPr>
            <w:r>
              <w:rPr>
                <w:sz w:val="18"/>
              </w:rPr>
              <w:t>63</w:t>
            </w:r>
          </w:p>
        </w:tc>
        <w:tc>
          <w:tcPr>
            <w:tcW w:w="1860" w:type="dxa"/>
            <w:tcMar>
              <w:top w:w="0" w:type="dxa"/>
              <w:bottom w:w="0" w:type="dxa"/>
            </w:tcMar>
            <w:vAlign w:val="center"/>
          </w:tcPr>
          <w:p w:rsidR="000B5F65" w:rsidRDefault="0016462E">
            <w:pPr>
              <w:keepNext/>
              <w:keepLines/>
              <w:spacing w:after="0" w:line="240" w:lineRule="auto"/>
              <w:jc w:val="right"/>
            </w:pPr>
            <w:r>
              <w:rPr>
                <w:sz w:val="18"/>
              </w:rPr>
              <w:t>142.881.359,49</w:t>
            </w:r>
          </w:p>
        </w:tc>
        <w:tc>
          <w:tcPr>
            <w:tcW w:w="1860" w:type="dxa"/>
            <w:tcMar>
              <w:top w:w="0" w:type="dxa"/>
              <w:bottom w:w="0" w:type="dxa"/>
            </w:tcMar>
            <w:vAlign w:val="center"/>
          </w:tcPr>
          <w:p w:rsidR="000B5F65" w:rsidRDefault="0016462E">
            <w:pPr>
              <w:keepNext/>
              <w:keepLines/>
              <w:spacing w:after="0" w:line="240" w:lineRule="auto"/>
              <w:jc w:val="right"/>
            </w:pPr>
            <w:r>
              <w:rPr>
                <w:sz w:val="18"/>
              </w:rPr>
              <w:t>1.685.993,96</w:t>
            </w:r>
          </w:p>
        </w:tc>
        <w:tc>
          <w:tcPr>
            <w:tcW w:w="700" w:type="dxa"/>
            <w:tcMar>
              <w:top w:w="0" w:type="dxa"/>
              <w:bottom w:w="0" w:type="dxa"/>
            </w:tcMar>
            <w:vAlign w:val="center"/>
          </w:tcPr>
          <w:p w:rsidR="000B5F65" w:rsidRDefault="0016462E">
            <w:pPr>
              <w:keepNext/>
              <w:keepLines/>
              <w:spacing w:after="0" w:line="240" w:lineRule="auto"/>
              <w:jc w:val="right"/>
            </w:pPr>
            <w:r>
              <w:rPr>
                <w:sz w:val="18"/>
              </w:rPr>
              <w:t>1,2</w:t>
            </w:r>
          </w:p>
        </w:tc>
      </w:tr>
    </w:tbl>
    <w:p w:rsidR="000B5F65" w:rsidRDefault="000B5F65">
      <w:pPr>
        <w:spacing w:after="0"/>
      </w:pPr>
    </w:p>
    <w:p w:rsidR="000B5F65" w:rsidRDefault="0016462E">
      <w:r>
        <w:t>Ostvareni prihodi od međunarodnih organizacija te institucija i tijela EU odnose se na povrat putnih troškova delegata Europskog vijeća i Vijeća EU. Za EU projekte, za koje su ranijih godina primljeni predujmovi koji su u trenutku uplate evidentirani kao prihodi i na dan 1.1.2025. su bili evidentirani na prenesenom višku prihoda, priznati  su prihodi iz višaka  prihoda ranijih godina u visini nastalih rashoda na dan 31.12.2024.</w:t>
      </w:r>
    </w:p>
    <w:p w:rsidR="000B5F65" w:rsidRDefault="0016462E">
      <w:r>
        <w:t>639 Prijenosi između proračunskih korisnika istog proračuna: Temeljem Sporazuma o financiranju odobrenih projekata i nabavu opreme, a sukladno planu potreba Nacionalnog plana sigurnosti cestovnog prometa RH, MUP je Ministarstvu prenio sredstva u iznosu od 1.146.500,00 EUR.</w:t>
      </w:r>
    </w:p>
    <w:p w:rsidR="000B5F65" w:rsidRDefault="0016462E">
      <w:r>
        <w:t>Sukladno odredbama novog Pravilnika o proračunskom računovodstvu i računskom planu (NN 158/2023) prihodi ostvareni iz Državnog proračuna za podmirenje obveza po projektima koji se financiraju iz EU sredstava, izvor 562, 563 i 581, evidentirani su u razredu 67, te su ostvareni prihodi u 2025. znatno manji u odnosu na 2024. godinu.</w:t>
      </w:r>
    </w:p>
    <w:p w:rsidR="000B5F65" w:rsidRDefault="000B5F65"/>
    <w:p w:rsidR="000B5F65" w:rsidRDefault="0016462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65</w:t>
            </w:r>
          </w:p>
        </w:tc>
        <w:tc>
          <w:tcPr>
            <w:tcW w:w="3180" w:type="dxa"/>
            <w:tcMar>
              <w:top w:w="0" w:type="dxa"/>
              <w:bottom w:w="0" w:type="dxa"/>
            </w:tcMar>
            <w:vAlign w:val="center"/>
          </w:tcPr>
          <w:p w:rsidR="000B5F65" w:rsidRDefault="0016462E">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0B5F65" w:rsidRDefault="0016462E">
            <w:pPr>
              <w:keepNext/>
              <w:keepLines/>
              <w:spacing w:after="0" w:line="240" w:lineRule="auto"/>
            </w:pPr>
            <w:r>
              <w:rPr>
                <w:sz w:val="18"/>
              </w:rPr>
              <w:t>65</w:t>
            </w:r>
          </w:p>
        </w:tc>
        <w:tc>
          <w:tcPr>
            <w:tcW w:w="1860" w:type="dxa"/>
            <w:tcMar>
              <w:top w:w="0" w:type="dxa"/>
              <w:bottom w:w="0" w:type="dxa"/>
            </w:tcMar>
            <w:vAlign w:val="center"/>
          </w:tcPr>
          <w:p w:rsidR="000B5F65" w:rsidRDefault="0016462E">
            <w:pPr>
              <w:keepNext/>
              <w:keepLines/>
              <w:spacing w:after="0" w:line="240" w:lineRule="auto"/>
              <w:jc w:val="right"/>
            </w:pPr>
            <w:r>
              <w:rPr>
                <w:sz w:val="18"/>
              </w:rPr>
              <w:t>5.263.921,64</w:t>
            </w:r>
          </w:p>
        </w:tc>
        <w:tc>
          <w:tcPr>
            <w:tcW w:w="1860" w:type="dxa"/>
            <w:tcMar>
              <w:top w:w="0" w:type="dxa"/>
              <w:bottom w:w="0" w:type="dxa"/>
            </w:tcMar>
            <w:vAlign w:val="center"/>
          </w:tcPr>
          <w:p w:rsidR="000B5F65" w:rsidRDefault="0016462E">
            <w:pPr>
              <w:keepNext/>
              <w:keepLines/>
              <w:spacing w:after="0" w:line="240" w:lineRule="auto"/>
              <w:jc w:val="right"/>
            </w:pPr>
            <w:r>
              <w:rPr>
                <w:sz w:val="18"/>
              </w:rPr>
              <w:t>4.904.041,94</w:t>
            </w:r>
          </w:p>
        </w:tc>
        <w:tc>
          <w:tcPr>
            <w:tcW w:w="700" w:type="dxa"/>
            <w:tcMar>
              <w:top w:w="0" w:type="dxa"/>
              <w:bottom w:w="0" w:type="dxa"/>
            </w:tcMar>
            <w:vAlign w:val="center"/>
          </w:tcPr>
          <w:p w:rsidR="000B5F65" w:rsidRDefault="0016462E">
            <w:pPr>
              <w:keepNext/>
              <w:keepLines/>
              <w:spacing w:after="0" w:line="240" w:lineRule="auto"/>
              <w:jc w:val="right"/>
            </w:pPr>
            <w:r>
              <w:rPr>
                <w:sz w:val="18"/>
              </w:rPr>
              <w:t>93,2</w:t>
            </w:r>
          </w:p>
        </w:tc>
      </w:tr>
    </w:tbl>
    <w:p w:rsidR="000B5F65" w:rsidRDefault="000B5F65">
      <w:pPr>
        <w:spacing w:after="0"/>
      </w:pPr>
    </w:p>
    <w:p w:rsidR="000B5F65" w:rsidRDefault="0016462E">
      <w:r>
        <w:t xml:space="preserve">Ostvareni prihodi po posebnim propisima odnose se na prihode uplaćene u Državni proračun na RKP Ministarstva za namjenske prihode za sigurnost plovidbe (2.840.118,28 EUR) i na </w:t>
      </w:r>
      <w:r>
        <w:lastRenderedPageBreak/>
        <w:t>prihode od izobrazbe pomoraca, odnosno organizaciju i održavanje ispita za pomorce (2.063.923,66 EUR) koji su, sukladno Pomorskom zakoniku, definirani kao namjenski prihod Ministarstva.</w:t>
      </w:r>
    </w:p>
    <w:p w:rsidR="000B5F65" w:rsidRDefault="0016462E">
      <w:r>
        <w:t>U 2025. ostvareni su manji prihodu u odnosu na 2024. Razlika u iznosima plaćenih računa se odnosi na vrijeme plaćanja samih računa jer su obračuni naknada za 2024. godinu izdani i plaćeni u 2024., dok su obračuni naknada za 2025. godinu izdani na kraju kalendarske godine 2025. te se može očekivati njihovo plaćanje u početkom 2026.</w:t>
      </w:r>
    </w:p>
    <w:p w:rsidR="000B5F65" w:rsidRDefault="000B5F65"/>
    <w:p w:rsidR="000B5F65" w:rsidRDefault="0016462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66</w:t>
            </w:r>
          </w:p>
        </w:tc>
        <w:tc>
          <w:tcPr>
            <w:tcW w:w="3180" w:type="dxa"/>
            <w:tcMar>
              <w:top w:w="0" w:type="dxa"/>
              <w:bottom w:w="0" w:type="dxa"/>
            </w:tcMar>
            <w:vAlign w:val="center"/>
          </w:tcPr>
          <w:p w:rsidR="000B5F65" w:rsidRDefault="0016462E">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0B5F65" w:rsidRDefault="0016462E">
            <w:pPr>
              <w:keepNext/>
              <w:keepLines/>
              <w:spacing w:after="0" w:line="240" w:lineRule="auto"/>
            </w:pPr>
            <w:r>
              <w:rPr>
                <w:sz w:val="18"/>
              </w:rPr>
              <w:t>66</w:t>
            </w:r>
          </w:p>
        </w:tc>
        <w:tc>
          <w:tcPr>
            <w:tcW w:w="1860" w:type="dxa"/>
            <w:tcMar>
              <w:top w:w="0" w:type="dxa"/>
              <w:bottom w:w="0" w:type="dxa"/>
            </w:tcMar>
            <w:vAlign w:val="center"/>
          </w:tcPr>
          <w:p w:rsidR="000B5F65" w:rsidRDefault="0016462E">
            <w:pPr>
              <w:keepNext/>
              <w:keepLines/>
              <w:spacing w:after="0" w:line="240" w:lineRule="auto"/>
              <w:jc w:val="right"/>
            </w:pPr>
            <w:r>
              <w:rPr>
                <w:sz w:val="18"/>
              </w:rPr>
              <w:t>26.415,24</w:t>
            </w:r>
          </w:p>
        </w:tc>
        <w:tc>
          <w:tcPr>
            <w:tcW w:w="1860" w:type="dxa"/>
            <w:tcMar>
              <w:top w:w="0" w:type="dxa"/>
              <w:bottom w:w="0" w:type="dxa"/>
            </w:tcMar>
            <w:vAlign w:val="center"/>
          </w:tcPr>
          <w:p w:rsidR="000B5F65" w:rsidRDefault="0016462E">
            <w:pPr>
              <w:keepNext/>
              <w:keepLines/>
              <w:spacing w:after="0" w:line="240" w:lineRule="auto"/>
              <w:jc w:val="right"/>
            </w:pPr>
            <w:r>
              <w:rPr>
                <w:sz w:val="18"/>
              </w:rPr>
              <w:t>19.008,67</w:t>
            </w:r>
          </w:p>
        </w:tc>
        <w:tc>
          <w:tcPr>
            <w:tcW w:w="700" w:type="dxa"/>
            <w:tcMar>
              <w:top w:w="0" w:type="dxa"/>
              <w:bottom w:w="0" w:type="dxa"/>
            </w:tcMar>
            <w:vAlign w:val="center"/>
          </w:tcPr>
          <w:p w:rsidR="000B5F65" w:rsidRDefault="0016462E">
            <w:pPr>
              <w:keepNext/>
              <w:keepLines/>
              <w:spacing w:after="0" w:line="240" w:lineRule="auto"/>
              <w:jc w:val="right"/>
            </w:pPr>
            <w:r>
              <w:rPr>
                <w:sz w:val="18"/>
              </w:rPr>
              <w:t>72,0</w:t>
            </w:r>
          </w:p>
        </w:tc>
      </w:tr>
    </w:tbl>
    <w:p w:rsidR="000B5F65" w:rsidRDefault="000B5F65">
      <w:pPr>
        <w:spacing w:after="0"/>
      </w:pPr>
    </w:p>
    <w:p w:rsidR="000B5F65" w:rsidRDefault="0016462E">
      <w:r>
        <w:t>Prihodi od prodaje proizvoda i robe i pruženih usluga odnose se na ostvarene prihode po provedbi ovršnog postupka po pravomoćnoj presudi, a radi neplaćanja obveza prema ugovoru o najmu poslovnog prostora te na prihode od iznajmljivanja poslovnih prostora i dvorane u poslovnom objektu Kockica. U 2024. ostvaren je veći prihod od iznajmljivanja poslovnih prostora budući da je u ožujku 2024. istekao ugovor za najam restorana u poslovnoj zgradi Kockica, a nakon toga nije sklopljen novi.</w:t>
      </w:r>
    </w:p>
    <w:p w:rsidR="000B5F65" w:rsidRDefault="000B5F65"/>
    <w:p w:rsidR="000B5F65" w:rsidRDefault="0016462E">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67</w:t>
            </w:r>
          </w:p>
        </w:tc>
        <w:tc>
          <w:tcPr>
            <w:tcW w:w="3180" w:type="dxa"/>
            <w:tcMar>
              <w:top w:w="0" w:type="dxa"/>
              <w:bottom w:w="0" w:type="dxa"/>
            </w:tcMar>
            <w:vAlign w:val="center"/>
          </w:tcPr>
          <w:p w:rsidR="000B5F65" w:rsidRDefault="0016462E">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0B5F65" w:rsidRDefault="0016462E">
            <w:pPr>
              <w:keepNext/>
              <w:keepLines/>
              <w:spacing w:after="0" w:line="240" w:lineRule="auto"/>
            </w:pPr>
            <w:r>
              <w:rPr>
                <w:sz w:val="18"/>
              </w:rPr>
              <w:t>67</w:t>
            </w:r>
          </w:p>
        </w:tc>
        <w:tc>
          <w:tcPr>
            <w:tcW w:w="1860" w:type="dxa"/>
            <w:tcMar>
              <w:top w:w="0" w:type="dxa"/>
              <w:bottom w:w="0" w:type="dxa"/>
            </w:tcMar>
            <w:vAlign w:val="center"/>
          </w:tcPr>
          <w:p w:rsidR="000B5F65" w:rsidRDefault="0016462E">
            <w:pPr>
              <w:keepNext/>
              <w:keepLines/>
              <w:spacing w:after="0" w:line="240" w:lineRule="auto"/>
              <w:jc w:val="right"/>
            </w:pPr>
            <w:r>
              <w:rPr>
                <w:sz w:val="18"/>
              </w:rPr>
              <w:t>979.255.592,50</w:t>
            </w:r>
          </w:p>
        </w:tc>
        <w:tc>
          <w:tcPr>
            <w:tcW w:w="1860" w:type="dxa"/>
            <w:tcMar>
              <w:top w:w="0" w:type="dxa"/>
              <w:bottom w:w="0" w:type="dxa"/>
            </w:tcMar>
            <w:vAlign w:val="center"/>
          </w:tcPr>
          <w:p w:rsidR="000B5F65" w:rsidRDefault="0016462E">
            <w:pPr>
              <w:keepNext/>
              <w:keepLines/>
              <w:spacing w:after="0" w:line="240" w:lineRule="auto"/>
              <w:jc w:val="right"/>
            </w:pPr>
            <w:r>
              <w:rPr>
                <w:sz w:val="18"/>
              </w:rPr>
              <w:t>1.269.601.931,48</w:t>
            </w:r>
          </w:p>
        </w:tc>
        <w:tc>
          <w:tcPr>
            <w:tcW w:w="700" w:type="dxa"/>
            <w:tcMar>
              <w:top w:w="0" w:type="dxa"/>
              <w:bottom w:w="0" w:type="dxa"/>
            </w:tcMar>
            <w:vAlign w:val="center"/>
          </w:tcPr>
          <w:p w:rsidR="000B5F65" w:rsidRDefault="0016462E">
            <w:pPr>
              <w:keepNext/>
              <w:keepLines/>
              <w:spacing w:after="0" w:line="240" w:lineRule="auto"/>
              <w:jc w:val="right"/>
            </w:pPr>
            <w:r>
              <w:rPr>
                <w:sz w:val="18"/>
              </w:rPr>
              <w:t>129,6</w:t>
            </w:r>
          </w:p>
        </w:tc>
      </w:tr>
    </w:tbl>
    <w:p w:rsidR="000B5F65" w:rsidRDefault="000B5F65">
      <w:pPr>
        <w:spacing w:after="0"/>
      </w:pPr>
    </w:p>
    <w:p w:rsidR="000B5F65" w:rsidRDefault="0016462E">
      <w:r>
        <w:t xml:space="preserve">Glavni razlog  ostvarenih znatno većih prihoda iz nadležnog proračuna u 2025. godini u odnosu na 2024. godinu je evidentiranje prihoda ostvarenih iz Državnog proračuna za podmirenje obveza po projektima koji se financiraju iz EU sredstava, izvor 562, 563 i 581,  u razredu 67, a 2024. godine su bili evidentirani u razredu 63 (140 </w:t>
      </w:r>
      <w:proofErr w:type="spellStart"/>
      <w:r>
        <w:t>mil</w:t>
      </w:r>
      <w:proofErr w:type="spellEnd"/>
      <w:r>
        <w:t xml:space="preserve"> EUR).</w:t>
      </w:r>
    </w:p>
    <w:p w:rsidR="000B5F65" w:rsidRDefault="0016462E">
      <w:r>
        <w:t xml:space="preserve">Za naknade u cijeni goriva za HC, HAC i HŽI u 2025. planirano je 17,8 </w:t>
      </w:r>
      <w:proofErr w:type="spellStart"/>
      <w:r>
        <w:t>mil</w:t>
      </w:r>
      <w:proofErr w:type="spellEnd"/>
      <w:r>
        <w:t xml:space="preserve"> EUR više nego 2024. 53 </w:t>
      </w:r>
      <w:proofErr w:type="spellStart"/>
      <w:r>
        <w:t>mil</w:t>
      </w:r>
      <w:proofErr w:type="spellEnd"/>
      <w:r>
        <w:t xml:space="preserve"> EUR veći prihodi iz Državnog proračuna na A570344 Upravljanje, organizacija i regulacija željezničkog prometa u odnosu na 2024. godinu jer u 2024. nisu isplaćeni troškovi radnika na upravljanju, organizaciji i regulaciji željezničkog prometa za 09/2024, 10/2024 i 11/2024 sukladno ugovoru već su te obveze podmirene u 2025. Tijekom 2025. potpisan je dodatak kolektivnom ugovoru čime su porasli troškovi plaća. U 2025. godini je HŽI-u isplaćeno 25 </w:t>
      </w:r>
      <w:proofErr w:type="spellStart"/>
      <w:r>
        <w:t>mil</w:t>
      </w:r>
      <w:proofErr w:type="spellEnd"/>
      <w:r>
        <w:t xml:space="preserve"> EUR po nagodbi za izuzeto javno dobro. Na A820082 Financiranje i sufinanciranje građenja, modernizacije i obnove željezničke infrastrukture za izvođenje radova na projektima koji se financiraju u okviru projekta „Revitalizacija željezničkog sustava Republike Hrvatske u 2025. ostvareni su za 89 </w:t>
      </w:r>
      <w:proofErr w:type="spellStart"/>
      <w:r>
        <w:t>mil</w:t>
      </w:r>
      <w:proofErr w:type="spellEnd"/>
      <w:r>
        <w:t xml:space="preserve"> EUR veći prihodi u odnosu na 2024. Na </w:t>
      </w:r>
      <w:r>
        <w:lastRenderedPageBreak/>
        <w:t xml:space="preserve">A761011 Poticanje željezničkog putničkog prijevoza za provedbu PSO ugovora ostvareni su 19,5 </w:t>
      </w:r>
      <w:proofErr w:type="spellStart"/>
      <w:r>
        <w:t>mil</w:t>
      </w:r>
      <w:proofErr w:type="spellEnd"/>
      <w:r>
        <w:t xml:space="preserve"> EUR veći prihodi u odnosu na 2024. zbog povećanja troškova održavanja vlakova kao i zbog povećanja broja vlakova koji obavljaju PSO usluge.</w:t>
      </w:r>
    </w:p>
    <w:p w:rsidR="000B5F65" w:rsidRDefault="000B5F65"/>
    <w:p w:rsidR="000B5F65" w:rsidRDefault="0016462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31</w:t>
            </w:r>
          </w:p>
        </w:tc>
        <w:tc>
          <w:tcPr>
            <w:tcW w:w="3180" w:type="dxa"/>
            <w:tcMar>
              <w:top w:w="0" w:type="dxa"/>
              <w:bottom w:w="0" w:type="dxa"/>
            </w:tcMar>
            <w:vAlign w:val="center"/>
          </w:tcPr>
          <w:p w:rsidR="000B5F65" w:rsidRDefault="0016462E">
            <w:pPr>
              <w:keepNext/>
              <w:keepLines/>
              <w:spacing w:after="0" w:line="240" w:lineRule="auto"/>
            </w:pPr>
            <w:r>
              <w:rPr>
                <w:sz w:val="18"/>
              </w:rPr>
              <w:t>Rashodi za zaposlene (šifre 311+312+313)</w:t>
            </w:r>
          </w:p>
        </w:tc>
        <w:tc>
          <w:tcPr>
            <w:tcW w:w="700" w:type="dxa"/>
            <w:tcMar>
              <w:top w:w="0" w:type="dxa"/>
              <w:bottom w:w="0" w:type="dxa"/>
            </w:tcMar>
            <w:vAlign w:val="center"/>
          </w:tcPr>
          <w:p w:rsidR="000B5F65" w:rsidRDefault="0016462E">
            <w:pPr>
              <w:keepNext/>
              <w:keepLines/>
              <w:spacing w:after="0" w:line="240" w:lineRule="auto"/>
            </w:pPr>
            <w:r>
              <w:rPr>
                <w:sz w:val="18"/>
              </w:rPr>
              <w:t>31</w:t>
            </w:r>
          </w:p>
        </w:tc>
        <w:tc>
          <w:tcPr>
            <w:tcW w:w="1860" w:type="dxa"/>
            <w:tcMar>
              <w:top w:w="0" w:type="dxa"/>
              <w:bottom w:w="0" w:type="dxa"/>
            </w:tcMar>
            <w:vAlign w:val="center"/>
          </w:tcPr>
          <w:p w:rsidR="000B5F65" w:rsidRDefault="0016462E">
            <w:pPr>
              <w:keepNext/>
              <w:keepLines/>
              <w:spacing w:after="0" w:line="240" w:lineRule="auto"/>
              <w:jc w:val="right"/>
            </w:pPr>
            <w:r>
              <w:rPr>
                <w:sz w:val="18"/>
              </w:rPr>
              <w:t>26.589.875,68</w:t>
            </w:r>
          </w:p>
        </w:tc>
        <w:tc>
          <w:tcPr>
            <w:tcW w:w="1860" w:type="dxa"/>
            <w:tcMar>
              <w:top w:w="0" w:type="dxa"/>
              <w:bottom w:w="0" w:type="dxa"/>
            </w:tcMar>
            <w:vAlign w:val="center"/>
          </w:tcPr>
          <w:p w:rsidR="000B5F65" w:rsidRDefault="0016462E">
            <w:pPr>
              <w:keepNext/>
              <w:keepLines/>
              <w:spacing w:after="0" w:line="240" w:lineRule="auto"/>
              <w:jc w:val="right"/>
            </w:pPr>
            <w:r>
              <w:rPr>
                <w:sz w:val="18"/>
              </w:rPr>
              <w:t>31.334.676,49</w:t>
            </w:r>
          </w:p>
        </w:tc>
        <w:tc>
          <w:tcPr>
            <w:tcW w:w="700" w:type="dxa"/>
            <w:tcMar>
              <w:top w:w="0" w:type="dxa"/>
              <w:bottom w:w="0" w:type="dxa"/>
            </w:tcMar>
            <w:vAlign w:val="center"/>
          </w:tcPr>
          <w:p w:rsidR="000B5F65" w:rsidRDefault="0016462E">
            <w:pPr>
              <w:keepNext/>
              <w:keepLines/>
              <w:spacing w:after="0" w:line="240" w:lineRule="auto"/>
              <w:jc w:val="right"/>
            </w:pPr>
            <w:r>
              <w:rPr>
                <w:sz w:val="18"/>
              </w:rPr>
              <w:t>117,8</w:t>
            </w:r>
          </w:p>
        </w:tc>
      </w:tr>
    </w:tbl>
    <w:p w:rsidR="000B5F65" w:rsidRDefault="000B5F65">
      <w:pPr>
        <w:spacing w:after="0"/>
      </w:pPr>
    </w:p>
    <w:p w:rsidR="000B5F65" w:rsidRDefault="0016462E">
      <w:r>
        <w:t>Člankom 233. Pravilnika o proračunskom računovodstvu i računskom planu (NN 158/2023) određeno je da se ukida podskupina konta 193 Kontinuirani rashodi budućih razdoblja te su rashodi za plaću za 12/2024 početkom 2025. preneseni na rashode iz skupine  konta 31. U 2025. iskazani su rashodi za plaće za 12/2024 i 1-12/2025, odnosno u 2025. na skupini konta 31 Rashodi za zaposlene iskazano je 13 rashoda, dok je u istom razdoblju 2024. na ovoj skupini konta bilo iskazano 12 rashoda za plaće.</w:t>
      </w:r>
    </w:p>
    <w:p w:rsidR="000B5F65" w:rsidRDefault="0016462E">
      <w:r>
        <w:t>Na dan 1. siječnja 2025. godine bilo je zaposleno 810 službenika i namještenika na neodređeno vrijeme i 6 službenika na određeno vrijeme, a na dan 31. prosinca 2025. godine bilo je zaposleno 806 službenika i namještenika na neodređeno vrijeme i 4 službenika na određeno vrijeme.</w:t>
      </w:r>
    </w:p>
    <w:p w:rsidR="000B5F65" w:rsidRDefault="0016462E">
      <w:r>
        <w:t>U razdoblju od 1. siječnja 2025. godine do 31. prosinca 2025. godine zaposleno je 40 službenika i namještenika na neodređeno i  10 službenika na određeno vrijeme. U navedenom razdoblju otišlo je 44 službenika na neodređeno i 12 službenika na određeno vrijeme.</w:t>
      </w:r>
    </w:p>
    <w:p w:rsidR="000B5F65" w:rsidRDefault="000B5F65"/>
    <w:p w:rsidR="000B5F65" w:rsidRDefault="0016462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32</w:t>
            </w:r>
          </w:p>
        </w:tc>
        <w:tc>
          <w:tcPr>
            <w:tcW w:w="3180" w:type="dxa"/>
            <w:tcMar>
              <w:top w:w="0" w:type="dxa"/>
              <w:bottom w:w="0" w:type="dxa"/>
            </w:tcMar>
            <w:vAlign w:val="center"/>
          </w:tcPr>
          <w:p w:rsidR="000B5F65" w:rsidRDefault="0016462E">
            <w:pPr>
              <w:keepNext/>
              <w:keepLines/>
              <w:spacing w:after="0" w:line="240" w:lineRule="auto"/>
            </w:pPr>
            <w:r>
              <w:rPr>
                <w:sz w:val="18"/>
              </w:rPr>
              <w:t>Materijalni rashodi (šifre 321+322+323+324+325+329)</w:t>
            </w:r>
          </w:p>
        </w:tc>
        <w:tc>
          <w:tcPr>
            <w:tcW w:w="700" w:type="dxa"/>
            <w:tcMar>
              <w:top w:w="0" w:type="dxa"/>
              <w:bottom w:w="0" w:type="dxa"/>
            </w:tcMar>
            <w:vAlign w:val="center"/>
          </w:tcPr>
          <w:p w:rsidR="000B5F65" w:rsidRDefault="0016462E">
            <w:pPr>
              <w:keepNext/>
              <w:keepLines/>
              <w:spacing w:after="0" w:line="240" w:lineRule="auto"/>
            </w:pPr>
            <w:r>
              <w:rPr>
                <w:sz w:val="18"/>
              </w:rPr>
              <w:t>32</w:t>
            </w:r>
          </w:p>
        </w:tc>
        <w:tc>
          <w:tcPr>
            <w:tcW w:w="1860" w:type="dxa"/>
            <w:tcMar>
              <w:top w:w="0" w:type="dxa"/>
              <w:bottom w:w="0" w:type="dxa"/>
            </w:tcMar>
            <w:vAlign w:val="center"/>
          </w:tcPr>
          <w:p w:rsidR="000B5F65" w:rsidRDefault="0016462E">
            <w:pPr>
              <w:keepNext/>
              <w:keepLines/>
              <w:spacing w:after="0" w:line="240" w:lineRule="auto"/>
              <w:jc w:val="right"/>
            </w:pPr>
            <w:r>
              <w:rPr>
                <w:sz w:val="18"/>
              </w:rPr>
              <w:t>16.233.597,31</w:t>
            </w:r>
          </w:p>
        </w:tc>
        <w:tc>
          <w:tcPr>
            <w:tcW w:w="1860" w:type="dxa"/>
            <w:tcMar>
              <w:top w:w="0" w:type="dxa"/>
              <w:bottom w:w="0" w:type="dxa"/>
            </w:tcMar>
            <w:vAlign w:val="center"/>
          </w:tcPr>
          <w:p w:rsidR="000B5F65" w:rsidRDefault="0016462E">
            <w:pPr>
              <w:keepNext/>
              <w:keepLines/>
              <w:spacing w:after="0" w:line="240" w:lineRule="auto"/>
              <w:jc w:val="right"/>
            </w:pPr>
            <w:r>
              <w:rPr>
                <w:sz w:val="18"/>
              </w:rPr>
              <w:t>20.544.034,21</w:t>
            </w:r>
          </w:p>
        </w:tc>
        <w:tc>
          <w:tcPr>
            <w:tcW w:w="700" w:type="dxa"/>
            <w:tcMar>
              <w:top w:w="0" w:type="dxa"/>
              <w:bottom w:w="0" w:type="dxa"/>
            </w:tcMar>
            <w:vAlign w:val="center"/>
          </w:tcPr>
          <w:p w:rsidR="000B5F65" w:rsidRDefault="0016462E">
            <w:pPr>
              <w:keepNext/>
              <w:keepLines/>
              <w:spacing w:after="0" w:line="240" w:lineRule="auto"/>
              <w:jc w:val="right"/>
            </w:pPr>
            <w:r>
              <w:rPr>
                <w:sz w:val="18"/>
              </w:rPr>
              <w:t>126,6</w:t>
            </w:r>
          </w:p>
        </w:tc>
      </w:tr>
    </w:tbl>
    <w:p w:rsidR="000B5F65" w:rsidRDefault="000B5F65">
      <w:pPr>
        <w:spacing w:after="0"/>
      </w:pPr>
    </w:p>
    <w:p w:rsidR="000B5F65" w:rsidRDefault="0016462E">
      <w:r>
        <w:t>Najznačajniji materijalni rashodi ostvareni su za usluge tekućeg i investicijskog održavanja (4.454.480,19 EUR), računalne usluge (2.400.246,52 EUR), službenu odjeću i obuću (2.576.270,54 EUR),   zakupnine i najamnine (1.803.493,40 EUR), usluge telefona, interneta, pošte i prijevoza (1.094.298,89 EUR), energiju (1.144.926,95 EUR), naknade članovima povjerenstava (1.656.595,03 EUR) i intelektualne i osobne usluge (1.191.539,29 EUR).  </w:t>
      </w:r>
    </w:p>
    <w:p w:rsidR="000B5F65" w:rsidRDefault="0016462E">
      <w:r>
        <w:t>Od ukupno ostvarenih rashoda za usluge tekućeg i investicijskog održavanja 2.140.730,75 EUR odnosi se na Sigurnost plovidbe, uglavnom za održavanje brodica i opreme, 1.324.343,25 EUR odnosi se na tehničko održavanje plovnih putova na unutarnjim vodama, a 449.073,33 EUR odnosi se na održavanje poslovnih zgrada ministarstva. Dio rashoda za tekuće i investicijsko održavanje u iznosu od 1.483.634,57 EUR podmiren je iz namjenskih prihoda za sigurnost plovidbe.</w:t>
      </w:r>
    </w:p>
    <w:p w:rsidR="000B5F65" w:rsidRDefault="0016462E">
      <w:r>
        <w:lastRenderedPageBreak/>
        <w:t>U 2025. nabavljena je službena odjeća za djelatnike lučkih kapetanija, a u 2024. nije bilo rashoda za nabavu službene odjeće i obuće.</w:t>
      </w:r>
    </w:p>
    <w:p w:rsidR="000B5F65" w:rsidRDefault="0016462E">
      <w:r>
        <w:t>Materijalni rashodi veći su u odnosu na 2024. godinu zbog rasta cijena proizvoda i usluga. Rashodi za računalne usluge u 2025. godini veći su, u odnosu na 2024. godinu, zbog rasta cijena usluga. Rashodi za zakupnine veći su u odnosu na 2024. godinu zbog rasta cijena usluga za licence.</w:t>
      </w:r>
    </w:p>
    <w:p w:rsidR="000B5F65" w:rsidRDefault="000B5F65"/>
    <w:p w:rsidR="000B5F65" w:rsidRDefault="0016462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34</w:t>
            </w:r>
          </w:p>
        </w:tc>
        <w:tc>
          <w:tcPr>
            <w:tcW w:w="3180" w:type="dxa"/>
            <w:tcMar>
              <w:top w:w="0" w:type="dxa"/>
              <w:bottom w:w="0" w:type="dxa"/>
            </w:tcMar>
            <w:vAlign w:val="center"/>
          </w:tcPr>
          <w:p w:rsidR="000B5F65" w:rsidRDefault="0016462E">
            <w:pPr>
              <w:keepNext/>
              <w:keepLines/>
              <w:spacing w:after="0" w:line="240" w:lineRule="auto"/>
            </w:pPr>
            <w:r>
              <w:rPr>
                <w:sz w:val="18"/>
              </w:rPr>
              <w:t>Financijski rashodi (šifre 341+342+343)</w:t>
            </w:r>
          </w:p>
        </w:tc>
        <w:tc>
          <w:tcPr>
            <w:tcW w:w="700" w:type="dxa"/>
            <w:tcMar>
              <w:top w:w="0" w:type="dxa"/>
              <w:bottom w:w="0" w:type="dxa"/>
            </w:tcMar>
            <w:vAlign w:val="center"/>
          </w:tcPr>
          <w:p w:rsidR="000B5F65" w:rsidRDefault="0016462E">
            <w:pPr>
              <w:keepNext/>
              <w:keepLines/>
              <w:spacing w:after="0" w:line="240" w:lineRule="auto"/>
            </w:pPr>
            <w:r>
              <w:rPr>
                <w:sz w:val="18"/>
              </w:rPr>
              <w:t>34</w:t>
            </w:r>
          </w:p>
        </w:tc>
        <w:tc>
          <w:tcPr>
            <w:tcW w:w="1860" w:type="dxa"/>
            <w:tcMar>
              <w:top w:w="0" w:type="dxa"/>
              <w:bottom w:w="0" w:type="dxa"/>
            </w:tcMar>
            <w:vAlign w:val="center"/>
          </w:tcPr>
          <w:p w:rsidR="000B5F65" w:rsidRDefault="0016462E">
            <w:pPr>
              <w:keepNext/>
              <w:keepLines/>
              <w:spacing w:after="0" w:line="240" w:lineRule="auto"/>
              <w:jc w:val="right"/>
            </w:pPr>
            <w:r>
              <w:rPr>
                <w:sz w:val="18"/>
              </w:rPr>
              <w:t>90.488,10</w:t>
            </w:r>
          </w:p>
        </w:tc>
        <w:tc>
          <w:tcPr>
            <w:tcW w:w="1860" w:type="dxa"/>
            <w:tcMar>
              <w:top w:w="0" w:type="dxa"/>
              <w:bottom w:w="0" w:type="dxa"/>
            </w:tcMar>
            <w:vAlign w:val="center"/>
          </w:tcPr>
          <w:p w:rsidR="000B5F65" w:rsidRDefault="0016462E">
            <w:pPr>
              <w:keepNext/>
              <w:keepLines/>
              <w:spacing w:after="0" w:line="240" w:lineRule="auto"/>
              <w:jc w:val="right"/>
            </w:pPr>
            <w:r>
              <w:rPr>
                <w:sz w:val="18"/>
              </w:rPr>
              <w:t>32.369,74</w:t>
            </w:r>
          </w:p>
        </w:tc>
        <w:tc>
          <w:tcPr>
            <w:tcW w:w="700" w:type="dxa"/>
            <w:tcMar>
              <w:top w:w="0" w:type="dxa"/>
              <w:bottom w:w="0" w:type="dxa"/>
            </w:tcMar>
            <w:vAlign w:val="center"/>
          </w:tcPr>
          <w:p w:rsidR="000B5F65" w:rsidRDefault="0016462E">
            <w:pPr>
              <w:keepNext/>
              <w:keepLines/>
              <w:spacing w:after="0" w:line="240" w:lineRule="auto"/>
              <w:jc w:val="right"/>
            </w:pPr>
            <w:r>
              <w:rPr>
                <w:sz w:val="18"/>
              </w:rPr>
              <w:t>35,8</w:t>
            </w:r>
          </w:p>
        </w:tc>
      </w:tr>
    </w:tbl>
    <w:p w:rsidR="000B5F65" w:rsidRDefault="000B5F65">
      <w:pPr>
        <w:spacing w:after="0"/>
      </w:pPr>
    </w:p>
    <w:p w:rsidR="000B5F65" w:rsidRDefault="0016462E">
      <w:r>
        <w:t>U 2025. godini evidentirani su znatno manji financijski rashodi jer je u 2025. godini zaprimljeno 6 pravomoćnih sudskih presuda po kojima bi Ministarstvo bilo dužno platiti zatezne kamate, a u 2024. godini plaćene su zatezne kamate i troškovi postupka temeljem 12 sudskih presuda.</w:t>
      </w:r>
    </w:p>
    <w:p w:rsidR="000B5F65" w:rsidRDefault="000B5F65"/>
    <w:p w:rsidR="000B5F65" w:rsidRDefault="0016462E">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35</w:t>
            </w:r>
          </w:p>
        </w:tc>
        <w:tc>
          <w:tcPr>
            <w:tcW w:w="3180" w:type="dxa"/>
            <w:tcMar>
              <w:top w:w="0" w:type="dxa"/>
              <w:bottom w:w="0" w:type="dxa"/>
            </w:tcMar>
            <w:vAlign w:val="center"/>
          </w:tcPr>
          <w:p w:rsidR="000B5F65" w:rsidRDefault="0016462E">
            <w:pPr>
              <w:keepNext/>
              <w:keepLines/>
              <w:spacing w:after="0" w:line="240" w:lineRule="auto"/>
            </w:pPr>
            <w:r>
              <w:rPr>
                <w:sz w:val="18"/>
              </w:rPr>
              <w:t>Subvencije (šifre 351+352+353)</w:t>
            </w:r>
          </w:p>
        </w:tc>
        <w:tc>
          <w:tcPr>
            <w:tcW w:w="700" w:type="dxa"/>
            <w:tcMar>
              <w:top w:w="0" w:type="dxa"/>
              <w:bottom w:w="0" w:type="dxa"/>
            </w:tcMar>
            <w:vAlign w:val="center"/>
          </w:tcPr>
          <w:p w:rsidR="000B5F65" w:rsidRDefault="0016462E">
            <w:pPr>
              <w:keepNext/>
              <w:keepLines/>
              <w:spacing w:after="0" w:line="240" w:lineRule="auto"/>
            </w:pPr>
            <w:r>
              <w:rPr>
                <w:sz w:val="18"/>
              </w:rPr>
              <w:t>35</w:t>
            </w:r>
          </w:p>
        </w:tc>
        <w:tc>
          <w:tcPr>
            <w:tcW w:w="1860" w:type="dxa"/>
            <w:tcMar>
              <w:top w:w="0" w:type="dxa"/>
              <w:bottom w:w="0" w:type="dxa"/>
            </w:tcMar>
            <w:vAlign w:val="center"/>
          </w:tcPr>
          <w:p w:rsidR="000B5F65" w:rsidRDefault="0016462E">
            <w:pPr>
              <w:keepNext/>
              <w:keepLines/>
              <w:spacing w:after="0" w:line="240" w:lineRule="auto"/>
              <w:jc w:val="right"/>
            </w:pPr>
            <w:r>
              <w:rPr>
                <w:sz w:val="18"/>
              </w:rPr>
              <w:t>102.210.198,49</w:t>
            </w:r>
          </w:p>
        </w:tc>
        <w:tc>
          <w:tcPr>
            <w:tcW w:w="1860" w:type="dxa"/>
            <w:tcMar>
              <w:top w:w="0" w:type="dxa"/>
              <w:bottom w:w="0" w:type="dxa"/>
            </w:tcMar>
            <w:vAlign w:val="center"/>
          </w:tcPr>
          <w:p w:rsidR="000B5F65" w:rsidRDefault="0016462E">
            <w:pPr>
              <w:keepNext/>
              <w:keepLines/>
              <w:spacing w:after="0" w:line="240" w:lineRule="auto"/>
              <w:jc w:val="right"/>
            </w:pPr>
            <w:r>
              <w:rPr>
                <w:sz w:val="18"/>
              </w:rPr>
              <w:t>98.785.037,27</w:t>
            </w:r>
          </w:p>
        </w:tc>
        <w:tc>
          <w:tcPr>
            <w:tcW w:w="700" w:type="dxa"/>
            <w:tcMar>
              <w:top w:w="0" w:type="dxa"/>
              <w:bottom w:w="0" w:type="dxa"/>
            </w:tcMar>
            <w:vAlign w:val="center"/>
          </w:tcPr>
          <w:p w:rsidR="000B5F65" w:rsidRDefault="0016462E">
            <w:pPr>
              <w:keepNext/>
              <w:keepLines/>
              <w:spacing w:after="0" w:line="240" w:lineRule="auto"/>
              <w:jc w:val="right"/>
            </w:pPr>
            <w:r>
              <w:rPr>
                <w:sz w:val="18"/>
              </w:rPr>
              <w:t>96,6</w:t>
            </w:r>
          </w:p>
        </w:tc>
      </w:tr>
    </w:tbl>
    <w:p w:rsidR="000B5F65" w:rsidRDefault="000B5F65">
      <w:pPr>
        <w:spacing w:after="0"/>
      </w:pPr>
    </w:p>
    <w:p w:rsidR="000B5F65" w:rsidRDefault="0016462E">
      <w:r>
        <w:t xml:space="preserve">Najznačajniji rashodi za subvencije trgovačkim društvima u javnom sektoru odnose se na naknadu koja se dodjeljuje poduzetnicima kojima je povjereno obavljanje univerzalne poštanske usluge (15,5 </w:t>
      </w:r>
      <w:proofErr w:type="spellStart"/>
      <w:r>
        <w:t>mil</w:t>
      </w:r>
      <w:proofErr w:type="spellEnd"/>
      <w:r>
        <w:t xml:space="preserve"> EUR) i očuvanje prometne povezanosti regija-domaći linijski zračni promet (26,1 </w:t>
      </w:r>
      <w:proofErr w:type="spellStart"/>
      <w:r>
        <w:t>mil</w:t>
      </w:r>
      <w:proofErr w:type="spellEnd"/>
      <w:r>
        <w:t xml:space="preserve"> EUR).  </w:t>
      </w:r>
    </w:p>
    <w:p w:rsidR="000B5F65" w:rsidRDefault="0016462E">
      <w:r>
        <w:t xml:space="preserve">Najznačajniji rashodi za subvencije trgovačkim društvima izvan javnog sektora ostvareni su po koncesijskom ugovoru Bina-Istra (29,9 </w:t>
      </w:r>
      <w:proofErr w:type="spellStart"/>
      <w:r>
        <w:t>mil</w:t>
      </w:r>
      <w:proofErr w:type="spellEnd"/>
      <w:r>
        <w:t xml:space="preserve"> EUR) i po koncesijskom ugovoru Zagreb-Macelj (12,9 </w:t>
      </w:r>
      <w:proofErr w:type="spellStart"/>
      <w:r>
        <w:t>mil</w:t>
      </w:r>
      <w:proofErr w:type="spellEnd"/>
      <w:r>
        <w:t xml:space="preserve"> EUR).</w:t>
      </w:r>
    </w:p>
    <w:p w:rsidR="000B5F65" w:rsidRDefault="0016462E">
      <w:r>
        <w:t xml:space="preserve">U 2025. godini rashodi za subvencije manji su za 3,4 </w:t>
      </w:r>
      <w:proofErr w:type="spellStart"/>
      <w:r>
        <w:t>mil</w:t>
      </w:r>
      <w:proofErr w:type="spellEnd"/>
      <w:r>
        <w:t xml:space="preserve"> EUR u odnosu na isto razdoblje 2024. godine. Razlog manjih rashoda za subvencije u 2025. godini u odnosu na 2024. odnosi se na način isplate subvencije za obavljanje univerzalne poštanske usluge. U 2024. godini ugovorena je kvartalna isplata subvencije, te je u 2024. godini isplaćena subvencija za 3 kvartala prije konačnog obračuna i konačni obračun za 2023. godinu, a u 2025. su isplaćene naknade za 4 kvartala. U 2025. godini AKD-u su isplaćene subvencije za izradu iskaznica za osobe s invaliditetom u iznosu od 1,4 </w:t>
      </w:r>
      <w:proofErr w:type="spellStart"/>
      <w:r>
        <w:t>mil</w:t>
      </w:r>
      <w:proofErr w:type="spellEnd"/>
      <w:r>
        <w:t xml:space="preserve"> EUR, a u 2024. godini je sustav izrade iskaznica realiziran kroz NPOO. Za očuvanje prometne povezanosti regija-domaći linijski zračni promet u 2025. godini isplaćene su subvencije za 4,4 </w:t>
      </w:r>
      <w:proofErr w:type="spellStart"/>
      <w:r>
        <w:t>mil</w:t>
      </w:r>
      <w:proofErr w:type="spellEnd"/>
      <w:r>
        <w:t xml:space="preserve"> EUR veće u odnosu na 2024. godinu. Temeljem Dodatka I Ugovora o obvezi obavljanja domaćeg linijskog zračnog </w:t>
      </w:r>
      <w:r>
        <w:lastRenderedPageBreak/>
        <w:t>prijevoza za razdoblje 4.07.2022.-28.03.2026. isplaćena je dodatna subvencija te prijevremena isplata sredstava po Ugovoru. Prijevremena isplata sredstava po Ugovoru koji je na snazi do 28.03.2026. evidentirana je kao predujam.</w:t>
      </w:r>
    </w:p>
    <w:p w:rsidR="000B5F65" w:rsidRDefault="000B5F65"/>
    <w:p w:rsidR="000B5F65" w:rsidRDefault="0016462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36</w:t>
            </w:r>
          </w:p>
        </w:tc>
        <w:tc>
          <w:tcPr>
            <w:tcW w:w="3180" w:type="dxa"/>
            <w:tcMar>
              <w:top w:w="0" w:type="dxa"/>
              <w:bottom w:w="0" w:type="dxa"/>
            </w:tcMar>
            <w:vAlign w:val="center"/>
          </w:tcPr>
          <w:p w:rsidR="000B5F65" w:rsidRDefault="0016462E">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rsidR="000B5F65" w:rsidRDefault="0016462E">
            <w:pPr>
              <w:keepNext/>
              <w:keepLines/>
              <w:spacing w:after="0" w:line="240" w:lineRule="auto"/>
            </w:pPr>
            <w:r>
              <w:rPr>
                <w:sz w:val="18"/>
              </w:rPr>
              <w:t>36</w:t>
            </w:r>
          </w:p>
        </w:tc>
        <w:tc>
          <w:tcPr>
            <w:tcW w:w="1860" w:type="dxa"/>
            <w:tcMar>
              <w:top w:w="0" w:type="dxa"/>
              <w:bottom w:w="0" w:type="dxa"/>
            </w:tcMar>
            <w:vAlign w:val="center"/>
          </w:tcPr>
          <w:p w:rsidR="000B5F65" w:rsidRDefault="0016462E">
            <w:pPr>
              <w:keepNext/>
              <w:keepLines/>
              <w:spacing w:after="0" w:line="240" w:lineRule="auto"/>
              <w:jc w:val="right"/>
            </w:pPr>
            <w:r>
              <w:rPr>
                <w:sz w:val="18"/>
              </w:rPr>
              <w:t>970.047.707,41</w:t>
            </w:r>
          </w:p>
        </w:tc>
        <w:tc>
          <w:tcPr>
            <w:tcW w:w="1860" w:type="dxa"/>
            <w:tcMar>
              <w:top w:w="0" w:type="dxa"/>
              <w:bottom w:w="0" w:type="dxa"/>
            </w:tcMar>
            <w:vAlign w:val="center"/>
          </w:tcPr>
          <w:p w:rsidR="000B5F65" w:rsidRDefault="0016462E">
            <w:pPr>
              <w:keepNext/>
              <w:keepLines/>
              <w:spacing w:after="0" w:line="240" w:lineRule="auto"/>
              <w:jc w:val="right"/>
            </w:pPr>
            <w:r>
              <w:rPr>
                <w:sz w:val="18"/>
              </w:rPr>
              <w:t>1.111.859.700,29</w:t>
            </w:r>
          </w:p>
        </w:tc>
        <w:tc>
          <w:tcPr>
            <w:tcW w:w="700" w:type="dxa"/>
            <w:tcMar>
              <w:top w:w="0" w:type="dxa"/>
              <w:bottom w:w="0" w:type="dxa"/>
            </w:tcMar>
            <w:vAlign w:val="center"/>
          </w:tcPr>
          <w:p w:rsidR="000B5F65" w:rsidRDefault="0016462E">
            <w:pPr>
              <w:keepNext/>
              <w:keepLines/>
              <w:spacing w:after="0" w:line="240" w:lineRule="auto"/>
              <w:jc w:val="right"/>
            </w:pPr>
            <w:r>
              <w:rPr>
                <w:sz w:val="18"/>
              </w:rPr>
              <w:t>114,6</w:t>
            </w:r>
          </w:p>
        </w:tc>
      </w:tr>
    </w:tbl>
    <w:p w:rsidR="000B5F65" w:rsidRDefault="000B5F65">
      <w:pPr>
        <w:spacing w:after="0"/>
      </w:pPr>
    </w:p>
    <w:p w:rsidR="000B5F65" w:rsidRDefault="0016462E">
      <w:r>
        <w:t xml:space="preserve">U 2025. rashodi za pomoći dane unutar općeg proračuna veći su za 141,9 </w:t>
      </w:r>
      <w:proofErr w:type="spellStart"/>
      <w:r>
        <w:t>mil</w:t>
      </w:r>
      <w:proofErr w:type="spellEnd"/>
      <w:r>
        <w:t xml:space="preserve"> EUR u odnosu na 2024. godinu.</w:t>
      </w:r>
    </w:p>
    <w:p w:rsidR="000B5F65" w:rsidRDefault="0016462E">
      <w:r>
        <w:t xml:space="preserve">Najznačajniji rashodi za dane pomoći ostvareni su za naknade u cijeni goriva za HC, HAC i HŽI (469,8 </w:t>
      </w:r>
      <w:proofErr w:type="spellStart"/>
      <w:r>
        <w:t>mil</w:t>
      </w:r>
      <w:proofErr w:type="spellEnd"/>
      <w:r>
        <w:t xml:space="preserve"> EUR), za financiranje i sufinanciranje građenja i modernizacije željezničke infrastrukture (239 </w:t>
      </w:r>
      <w:proofErr w:type="spellStart"/>
      <w:r>
        <w:t>mil</w:t>
      </w:r>
      <w:proofErr w:type="spellEnd"/>
      <w:r>
        <w:t xml:space="preserve"> EUR), poticanje željezničkog putničkog prijevoza (152,9 </w:t>
      </w:r>
      <w:proofErr w:type="spellStart"/>
      <w:r>
        <w:t>mil</w:t>
      </w:r>
      <w:proofErr w:type="spellEnd"/>
      <w:r>
        <w:t xml:space="preserve"> EUR) i za upravljanje, organizaciju i regulaciju željezničkog prometa (117,2 </w:t>
      </w:r>
      <w:proofErr w:type="spellStart"/>
      <w:r>
        <w:t>mil</w:t>
      </w:r>
      <w:proofErr w:type="spellEnd"/>
      <w:r>
        <w:t xml:space="preserve"> EUR).</w:t>
      </w:r>
    </w:p>
    <w:p w:rsidR="000B5F65" w:rsidRDefault="0016462E">
      <w:r>
        <w:t xml:space="preserve">Za naknade u cijeni goriva za HC, HAC i HŽI u 2025. planirano je 17,8 </w:t>
      </w:r>
      <w:proofErr w:type="spellStart"/>
      <w:r>
        <w:t>mil</w:t>
      </w:r>
      <w:proofErr w:type="spellEnd"/>
      <w:r>
        <w:t xml:space="preserve"> EUR više nego 2024. . 53 </w:t>
      </w:r>
      <w:proofErr w:type="spellStart"/>
      <w:r>
        <w:t>mil</w:t>
      </w:r>
      <w:proofErr w:type="spellEnd"/>
      <w:r>
        <w:t xml:space="preserve"> EUR veći rashodi iz Državnog proračuna na A570344 Upravljanje, organizacija i regulacija željezničkog prometa u odnosu na 2024. godinu jer u 2024. nisu isplaćeni troškovi radnika na upravljanju, organizaciji i regulaciji željezničkog prometa za 09/2024, 10/2024 i 11/2024 sukladno ugovoru već su te obveze podmirene u 2025. Tijekom 2025. potpisan  je dodatak kolektivnom ugovoru čime su porasli troškovi plaća. Na A761011 Poticanje željezničkog putničkog prijevoza rashodi su veći za 37,7 </w:t>
      </w:r>
      <w:proofErr w:type="spellStart"/>
      <w:r>
        <w:t>mil</w:t>
      </w:r>
      <w:proofErr w:type="spellEnd"/>
      <w:r>
        <w:t xml:space="preserve"> EUR zbog rasta troškova plaća i troškova dobavljača društva HŽ-PP.</w:t>
      </w:r>
    </w:p>
    <w:p w:rsidR="000B5F65" w:rsidRDefault="0016462E">
      <w:r>
        <w:t xml:space="preserve">U 2024. godine ostvareni su rashodi  na izvoru 810 u iznosu od 97,9 </w:t>
      </w:r>
      <w:proofErr w:type="spellStart"/>
      <w:r>
        <w:t>mil</w:t>
      </w:r>
      <w:proofErr w:type="spellEnd"/>
      <w:r>
        <w:t xml:space="preserve"> EUR, a 2025. godine za financiranje i sufinanciranje građenja i modernizacije željezničke infrastrukture iz izvora 810 ostvareni su rashodi od 144,7 </w:t>
      </w:r>
      <w:proofErr w:type="spellStart"/>
      <w:r>
        <w:t>mil</w:t>
      </w:r>
      <w:proofErr w:type="spellEnd"/>
      <w:r>
        <w:t xml:space="preserve"> EUR.</w:t>
      </w:r>
    </w:p>
    <w:p w:rsidR="000B5F65" w:rsidRDefault="0016462E">
      <w:r>
        <w:t>Rashodi za potpore ŽUC-</w:t>
      </w:r>
      <w:proofErr w:type="spellStart"/>
      <w:r>
        <w:t>evim</w:t>
      </w:r>
      <w:proofErr w:type="spellEnd"/>
      <w:r>
        <w:t xml:space="preserve"> za održavanje i građenje županijskih i lokalnih cesta u 2025. godini manji su za 12 </w:t>
      </w:r>
      <w:proofErr w:type="spellStart"/>
      <w:r>
        <w:t>mil</w:t>
      </w:r>
      <w:proofErr w:type="spellEnd"/>
      <w:r>
        <w:t xml:space="preserve"> EUR u odnosu na 2024. godinu.</w:t>
      </w:r>
    </w:p>
    <w:p w:rsidR="000B5F65" w:rsidRDefault="0016462E">
      <w:r>
        <w:t xml:space="preserve">Rashodi za Sufinanciranje javne usluge u cestovnom prijevozu u 2025. godini veći su za 5,8 </w:t>
      </w:r>
      <w:proofErr w:type="spellStart"/>
      <w:r>
        <w:t>mil</w:t>
      </w:r>
      <w:proofErr w:type="spellEnd"/>
      <w:r>
        <w:t xml:space="preserve"> EUR u odnosu na 2024. jer su u 2024. godini ugovori bili sklopljeni sa 6 županija, a u 2025. godini sa 7 županija.</w:t>
      </w:r>
    </w:p>
    <w:p w:rsidR="000B5F65" w:rsidRDefault="0016462E">
      <w:r>
        <w:t xml:space="preserve">U 2025. godini ostvareni su manji rashodi iz izvora 562, 563  i 581 za 33,7 </w:t>
      </w:r>
      <w:proofErr w:type="spellStart"/>
      <w:r>
        <w:t>mil</w:t>
      </w:r>
      <w:proofErr w:type="spellEnd"/>
      <w:r>
        <w:t xml:space="preserve"> EUR jer je većina projekata završena, a pojedini projekti su u postupku </w:t>
      </w:r>
      <w:proofErr w:type="spellStart"/>
      <w:r>
        <w:t>faziranja</w:t>
      </w:r>
      <w:proofErr w:type="spellEnd"/>
      <w:r>
        <w:t xml:space="preserve"> i nastavljaju se u idućem programskom razdoblju.</w:t>
      </w:r>
    </w:p>
    <w:p w:rsidR="000B5F65" w:rsidRDefault="000B5F65"/>
    <w:p w:rsidR="000B5F65" w:rsidRDefault="0016462E">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37</w:t>
            </w:r>
          </w:p>
        </w:tc>
        <w:tc>
          <w:tcPr>
            <w:tcW w:w="3180" w:type="dxa"/>
            <w:tcMar>
              <w:top w:w="0" w:type="dxa"/>
              <w:bottom w:w="0" w:type="dxa"/>
            </w:tcMar>
            <w:vAlign w:val="center"/>
          </w:tcPr>
          <w:p w:rsidR="000B5F65" w:rsidRDefault="0016462E">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rsidR="000B5F65" w:rsidRDefault="0016462E">
            <w:pPr>
              <w:keepNext/>
              <w:keepLines/>
              <w:spacing w:after="0" w:line="240" w:lineRule="auto"/>
            </w:pPr>
            <w:r>
              <w:rPr>
                <w:sz w:val="18"/>
              </w:rPr>
              <w:t>37</w:t>
            </w:r>
          </w:p>
        </w:tc>
        <w:tc>
          <w:tcPr>
            <w:tcW w:w="1860" w:type="dxa"/>
            <w:tcMar>
              <w:top w:w="0" w:type="dxa"/>
              <w:bottom w:w="0" w:type="dxa"/>
            </w:tcMar>
            <w:vAlign w:val="center"/>
          </w:tcPr>
          <w:p w:rsidR="000B5F65" w:rsidRDefault="0016462E">
            <w:pPr>
              <w:keepNext/>
              <w:keepLines/>
              <w:spacing w:after="0" w:line="240" w:lineRule="auto"/>
              <w:jc w:val="right"/>
            </w:pPr>
            <w:r>
              <w:rPr>
                <w:sz w:val="18"/>
              </w:rPr>
              <w:t>7.689.662,22</w:t>
            </w:r>
          </w:p>
        </w:tc>
        <w:tc>
          <w:tcPr>
            <w:tcW w:w="1860" w:type="dxa"/>
            <w:tcMar>
              <w:top w:w="0" w:type="dxa"/>
              <w:bottom w:w="0" w:type="dxa"/>
            </w:tcMar>
            <w:vAlign w:val="center"/>
          </w:tcPr>
          <w:p w:rsidR="000B5F65" w:rsidRDefault="0016462E">
            <w:pPr>
              <w:keepNext/>
              <w:keepLines/>
              <w:spacing w:after="0" w:line="240" w:lineRule="auto"/>
              <w:jc w:val="right"/>
            </w:pPr>
            <w:r>
              <w:rPr>
                <w:sz w:val="18"/>
              </w:rPr>
              <w:t>5.559.285,92</w:t>
            </w:r>
          </w:p>
        </w:tc>
        <w:tc>
          <w:tcPr>
            <w:tcW w:w="700" w:type="dxa"/>
            <w:tcMar>
              <w:top w:w="0" w:type="dxa"/>
              <w:bottom w:w="0" w:type="dxa"/>
            </w:tcMar>
            <w:vAlign w:val="center"/>
          </w:tcPr>
          <w:p w:rsidR="000B5F65" w:rsidRDefault="0016462E">
            <w:pPr>
              <w:keepNext/>
              <w:keepLines/>
              <w:spacing w:after="0" w:line="240" w:lineRule="auto"/>
              <w:jc w:val="right"/>
            </w:pPr>
            <w:r>
              <w:rPr>
                <w:sz w:val="18"/>
              </w:rPr>
              <w:t>72,3</w:t>
            </w:r>
          </w:p>
        </w:tc>
      </w:tr>
    </w:tbl>
    <w:p w:rsidR="000B5F65" w:rsidRDefault="000B5F65">
      <w:pPr>
        <w:spacing w:after="0"/>
      </w:pPr>
    </w:p>
    <w:p w:rsidR="000B5F65" w:rsidRDefault="0016462E">
      <w:r>
        <w:t>Rashodi za naknade građanima i kućanstvima u naravi manji su u 2025. godini u odnosu na 2024. budući da su u drugom polugodištu 2024. za sufinanciranje javne usluge otočnog cestovnog prijevoza sklopljeni ugovori sa županijama te su rashodi za javne usluge otočnog cestovnog prijevoza u 2025. evidentirani u okviru skupine 36.</w:t>
      </w:r>
    </w:p>
    <w:p w:rsidR="000B5F65" w:rsidRDefault="000B5F65"/>
    <w:p w:rsidR="000B5F65" w:rsidRDefault="0016462E">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38</w:t>
            </w:r>
          </w:p>
        </w:tc>
        <w:tc>
          <w:tcPr>
            <w:tcW w:w="3180" w:type="dxa"/>
            <w:tcMar>
              <w:top w:w="0" w:type="dxa"/>
              <w:bottom w:w="0" w:type="dxa"/>
            </w:tcMar>
            <w:vAlign w:val="center"/>
          </w:tcPr>
          <w:p w:rsidR="000B5F65" w:rsidRDefault="0016462E">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rsidR="000B5F65" w:rsidRDefault="0016462E">
            <w:pPr>
              <w:keepNext/>
              <w:keepLines/>
              <w:spacing w:after="0" w:line="240" w:lineRule="auto"/>
            </w:pPr>
            <w:r>
              <w:rPr>
                <w:sz w:val="18"/>
              </w:rPr>
              <w:t>38</w:t>
            </w:r>
          </w:p>
        </w:tc>
        <w:tc>
          <w:tcPr>
            <w:tcW w:w="1860" w:type="dxa"/>
            <w:tcMar>
              <w:top w:w="0" w:type="dxa"/>
              <w:bottom w:w="0" w:type="dxa"/>
            </w:tcMar>
            <w:vAlign w:val="center"/>
          </w:tcPr>
          <w:p w:rsidR="000B5F65" w:rsidRDefault="0016462E">
            <w:pPr>
              <w:keepNext/>
              <w:keepLines/>
              <w:spacing w:after="0" w:line="240" w:lineRule="auto"/>
              <w:jc w:val="right"/>
            </w:pPr>
            <w:r>
              <w:rPr>
                <w:sz w:val="18"/>
              </w:rPr>
              <w:t>93.942.827,62</w:t>
            </w:r>
          </w:p>
        </w:tc>
        <w:tc>
          <w:tcPr>
            <w:tcW w:w="1860" w:type="dxa"/>
            <w:tcMar>
              <w:top w:w="0" w:type="dxa"/>
              <w:bottom w:w="0" w:type="dxa"/>
            </w:tcMar>
            <w:vAlign w:val="center"/>
          </w:tcPr>
          <w:p w:rsidR="000B5F65" w:rsidRDefault="0016462E">
            <w:pPr>
              <w:keepNext/>
              <w:keepLines/>
              <w:spacing w:after="0" w:line="240" w:lineRule="auto"/>
              <w:jc w:val="right"/>
            </w:pPr>
            <w:r>
              <w:rPr>
                <w:sz w:val="18"/>
              </w:rPr>
              <w:t>100.605.305,65</w:t>
            </w:r>
          </w:p>
        </w:tc>
        <w:tc>
          <w:tcPr>
            <w:tcW w:w="700" w:type="dxa"/>
            <w:tcMar>
              <w:top w:w="0" w:type="dxa"/>
              <w:bottom w:w="0" w:type="dxa"/>
            </w:tcMar>
            <w:vAlign w:val="center"/>
          </w:tcPr>
          <w:p w:rsidR="000B5F65" w:rsidRDefault="0016462E">
            <w:pPr>
              <w:keepNext/>
              <w:keepLines/>
              <w:spacing w:after="0" w:line="240" w:lineRule="auto"/>
              <w:jc w:val="right"/>
            </w:pPr>
            <w:r>
              <w:rPr>
                <w:sz w:val="18"/>
              </w:rPr>
              <w:t>107,1</w:t>
            </w:r>
          </w:p>
        </w:tc>
      </w:tr>
    </w:tbl>
    <w:p w:rsidR="000B5F65" w:rsidRDefault="000B5F65">
      <w:pPr>
        <w:spacing w:after="0"/>
      </w:pPr>
    </w:p>
    <w:p w:rsidR="000B5F65" w:rsidRDefault="0016462E">
      <w:r>
        <w:t xml:space="preserve">Najznačajniji rashodi za donacije, kazne, naknade šteta i kapitalne pomoći u 2025. godine ostvareni su za A587082 Izuzeto javno dobro (32 </w:t>
      </w:r>
      <w:proofErr w:type="spellStart"/>
      <w:r>
        <w:t>mil</w:t>
      </w:r>
      <w:proofErr w:type="spellEnd"/>
      <w:r>
        <w:t xml:space="preserve"> EUR) i za projekte željezničkog sektora iz NPOO (29,3 </w:t>
      </w:r>
      <w:proofErr w:type="spellStart"/>
      <w:r>
        <w:t>mil</w:t>
      </w:r>
      <w:proofErr w:type="spellEnd"/>
      <w:r>
        <w:t xml:space="preserve"> EUR).</w:t>
      </w:r>
    </w:p>
    <w:p w:rsidR="000B5F65" w:rsidRDefault="0016462E">
      <w:r>
        <w:t xml:space="preserve">Rashodi za donacije, kazne, naknade šteta i kapitalne pomoći u 2025. godine veći su za 6,7 </w:t>
      </w:r>
      <w:proofErr w:type="spellStart"/>
      <w:r>
        <w:t>mil</w:t>
      </w:r>
      <w:proofErr w:type="spellEnd"/>
      <w:r>
        <w:t xml:space="preserve"> EUR u odnosu na 2024. godinu. Člankom 233. Pravilnika o proračunskom računovodstvu i računskom planu (NN 158/2023) određeno je da se ukida podskupina konta 193 Kontinuirani rashodi budućih razdoblja te su rashodi na A587082 Izuzeto javno dobro za obveze koje dospijevaju u 2026. i 2027. godini (21,4 </w:t>
      </w:r>
      <w:proofErr w:type="spellStart"/>
      <w:r>
        <w:t>mil</w:t>
      </w:r>
      <w:proofErr w:type="spellEnd"/>
      <w:r>
        <w:t xml:space="preserve"> EUR), a prema Odluci o prihvaćanju nagodbe između Republike Hrvatske i društva HŽ </w:t>
      </w:r>
      <w:proofErr w:type="spellStart"/>
      <w:r>
        <w:t>Cargo</w:t>
      </w:r>
      <w:proofErr w:type="spellEnd"/>
      <w:r>
        <w:t xml:space="preserve"> d.o.o. evidentirane kao rashodi u 2025. godini.</w:t>
      </w:r>
    </w:p>
    <w:p w:rsidR="000B5F65" w:rsidRDefault="0016462E">
      <w:r>
        <w:t xml:space="preserve">Iz programa NPOO za nabavu niskopodnih tramvaja u Osijeku i Zagrebu u 2025. ostvareni su rashodi od 28 </w:t>
      </w:r>
      <w:proofErr w:type="spellStart"/>
      <w:r>
        <w:t>mil</w:t>
      </w:r>
      <w:proofErr w:type="spellEnd"/>
      <w:r>
        <w:t xml:space="preserve"> EUR, a rashodi za projekte željezničkog sektora iz NPOO u 2024. godini ostvareni su u iznosu od 4,5 </w:t>
      </w:r>
      <w:proofErr w:type="spellStart"/>
      <w:r>
        <w:t>mil</w:t>
      </w:r>
      <w:proofErr w:type="spellEnd"/>
      <w:r>
        <w:t xml:space="preserve"> EUR (razvoj sustava napajanja vodikom).</w:t>
      </w:r>
    </w:p>
    <w:p w:rsidR="000B5F65" w:rsidRDefault="0016462E">
      <w:r>
        <w:t xml:space="preserve">U 2025. godini nisu ostvareni rashodi za razvoj infrastrukture širokopojasne mreže slijedeće generacije iz programa OP KK, a u 2024. su ostvareni rashodi u iznosu od 21,5 </w:t>
      </w:r>
      <w:proofErr w:type="spellStart"/>
      <w:r>
        <w:t>mil</w:t>
      </w:r>
      <w:proofErr w:type="spellEnd"/>
      <w:r>
        <w:t xml:space="preserve"> EUR.</w:t>
      </w:r>
    </w:p>
    <w:p w:rsidR="000B5F65" w:rsidRDefault="0016462E">
      <w:r>
        <w:t xml:space="preserve">Protestirana su tri jamstva dodijeljena u sklopu Programa dodjele državnih potpora sektoru mora, prometa i prometne infrastrukture u povezanim djelatnostima u </w:t>
      </w:r>
      <w:proofErr w:type="spellStart"/>
      <w:r>
        <w:t>pandemiji</w:t>
      </w:r>
      <w:proofErr w:type="spellEnd"/>
      <w:r>
        <w:t xml:space="preserve"> COVID-19.</w:t>
      </w:r>
    </w:p>
    <w:p w:rsidR="000B5F65" w:rsidRDefault="000B5F65"/>
    <w:p w:rsidR="000B5F65" w:rsidRDefault="0016462E">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41</w:t>
            </w:r>
          </w:p>
        </w:tc>
        <w:tc>
          <w:tcPr>
            <w:tcW w:w="3180" w:type="dxa"/>
            <w:tcMar>
              <w:top w:w="0" w:type="dxa"/>
              <w:bottom w:w="0" w:type="dxa"/>
            </w:tcMar>
            <w:vAlign w:val="center"/>
          </w:tcPr>
          <w:p w:rsidR="000B5F65" w:rsidRDefault="0016462E">
            <w:pPr>
              <w:keepNext/>
              <w:keepLines/>
              <w:spacing w:after="0" w:line="240" w:lineRule="auto"/>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rsidR="000B5F65" w:rsidRDefault="0016462E">
            <w:pPr>
              <w:keepNext/>
              <w:keepLines/>
              <w:spacing w:after="0" w:line="240" w:lineRule="auto"/>
            </w:pPr>
            <w:r>
              <w:rPr>
                <w:sz w:val="18"/>
              </w:rPr>
              <w:t>41</w:t>
            </w:r>
          </w:p>
        </w:tc>
        <w:tc>
          <w:tcPr>
            <w:tcW w:w="1860" w:type="dxa"/>
            <w:tcMar>
              <w:top w:w="0" w:type="dxa"/>
              <w:bottom w:w="0" w:type="dxa"/>
            </w:tcMar>
            <w:vAlign w:val="center"/>
          </w:tcPr>
          <w:p w:rsidR="000B5F65" w:rsidRDefault="0016462E">
            <w:pPr>
              <w:keepNext/>
              <w:keepLines/>
              <w:spacing w:after="0" w:line="240" w:lineRule="auto"/>
              <w:jc w:val="right"/>
            </w:pPr>
            <w:r>
              <w:rPr>
                <w:sz w:val="18"/>
              </w:rPr>
              <w:t>653.395,05</w:t>
            </w:r>
          </w:p>
        </w:tc>
        <w:tc>
          <w:tcPr>
            <w:tcW w:w="1860" w:type="dxa"/>
            <w:tcMar>
              <w:top w:w="0" w:type="dxa"/>
              <w:bottom w:w="0" w:type="dxa"/>
            </w:tcMar>
            <w:vAlign w:val="center"/>
          </w:tcPr>
          <w:p w:rsidR="000B5F65" w:rsidRDefault="0016462E">
            <w:pPr>
              <w:keepNext/>
              <w:keepLines/>
              <w:spacing w:after="0" w:line="240" w:lineRule="auto"/>
              <w:jc w:val="right"/>
            </w:pPr>
            <w:r>
              <w:rPr>
                <w:sz w:val="18"/>
              </w:rPr>
              <w:t>664.558,62</w:t>
            </w:r>
          </w:p>
        </w:tc>
        <w:tc>
          <w:tcPr>
            <w:tcW w:w="700" w:type="dxa"/>
            <w:tcMar>
              <w:top w:w="0" w:type="dxa"/>
              <w:bottom w:w="0" w:type="dxa"/>
            </w:tcMar>
            <w:vAlign w:val="center"/>
          </w:tcPr>
          <w:p w:rsidR="000B5F65" w:rsidRDefault="0016462E">
            <w:pPr>
              <w:keepNext/>
              <w:keepLines/>
              <w:spacing w:after="0" w:line="240" w:lineRule="auto"/>
              <w:jc w:val="right"/>
            </w:pPr>
            <w:r>
              <w:rPr>
                <w:sz w:val="18"/>
              </w:rPr>
              <w:t>101,7</w:t>
            </w:r>
          </w:p>
        </w:tc>
      </w:tr>
    </w:tbl>
    <w:p w:rsidR="000B5F65" w:rsidRDefault="000B5F65">
      <w:pPr>
        <w:spacing w:after="0"/>
      </w:pPr>
    </w:p>
    <w:p w:rsidR="000B5F65" w:rsidRDefault="0016462E">
      <w:r>
        <w:t xml:space="preserve">Nabavljene su Microsoft licence, licence za dogradnju </w:t>
      </w:r>
      <w:proofErr w:type="spellStart"/>
      <w:r>
        <w:t>vatrozid</w:t>
      </w:r>
      <w:proofErr w:type="spellEnd"/>
      <w:r>
        <w:t xml:space="preserve"> sustava i licence za izradu ENC karata.</w:t>
      </w:r>
    </w:p>
    <w:p w:rsidR="000B5F65" w:rsidRDefault="0016462E">
      <w:r>
        <w:t>U 2025. godini ispostavljene su privremene situacije za studijsko-projektnu dokumentaciju za uređenje plovnog puta i pristaništa za brodove na Kupi te je izrađen Srednjoročni plan razvitka vodnih putova, luka i pristaništa.</w:t>
      </w:r>
    </w:p>
    <w:p w:rsidR="000B5F65" w:rsidRDefault="000B5F65"/>
    <w:p w:rsidR="000B5F65" w:rsidRDefault="0016462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42</w:t>
            </w:r>
          </w:p>
        </w:tc>
        <w:tc>
          <w:tcPr>
            <w:tcW w:w="3180" w:type="dxa"/>
            <w:tcMar>
              <w:top w:w="0" w:type="dxa"/>
              <w:bottom w:w="0" w:type="dxa"/>
            </w:tcMar>
            <w:vAlign w:val="center"/>
          </w:tcPr>
          <w:p w:rsidR="000B5F65" w:rsidRDefault="0016462E">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rsidR="000B5F65" w:rsidRDefault="0016462E">
            <w:pPr>
              <w:keepNext/>
              <w:keepLines/>
              <w:spacing w:after="0" w:line="240" w:lineRule="auto"/>
            </w:pPr>
            <w:r>
              <w:rPr>
                <w:sz w:val="18"/>
              </w:rPr>
              <w:t>42</w:t>
            </w:r>
          </w:p>
        </w:tc>
        <w:tc>
          <w:tcPr>
            <w:tcW w:w="1860" w:type="dxa"/>
            <w:tcMar>
              <w:top w:w="0" w:type="dxa"/>
              <w:bottom w:w="0" w:type="dxa"/>
            </w:tcMar>
            <w:vAlign w:val="center"/>
          </w:tcPr>
          <w:p w:rsidR="000B5F65" w:rsidRDefault="0016462E">
            <w:pPr>
              <w:keepNext/>
              <w:keepLines/>
              <w:spacing w:after="0" w:line="240" w:lineRule="auto"/>
              <w:jc w:val="right"/>
            </w:pPr>
            <w:r>
              <w:rPr>
                <w:sz w:val="18"/>
              </w:rPr>
              <w:t>9.121.225,84</w:t>
            </w:r>
          </w:p>
        </w:tc>
        <w:tc>
          <w:tcPr>
            <w:tcW w:w="1860" w:type="dxa"/>
            <w:tcMar>
              <w:top w:w="0" w:type="dxa"/>
              <w:bottom w:w="0" w:type="dxa"/>
            </w:tcMar>
            <w:vAlign w:val="center"/>
          </w:tcPr>
          <w:p w:rsidR="000B5F65" w:rsidRDefault="0016462E">
            <w:pPr>
              <w:keepNext/>
              <w:keepLines/>
              <w:spacing w:after="0" w:line="240" w:lineRule="auto"/>
              <w:jc w:val="right"/>
            </w:pPr>
            <w:r>
              <w:rPr>
                <w:sz w:val="18"/>
              </w:rPr>
              <w:t>17.085.653,02</w:t>
            </w:r>
          </w:p>
        </w:tc>
        <w:tc>
          <w:tcPr>
            <w:tcW w:w="700" w:type="dxa"/>
            <w:tcMar>
              <w:top w:w="0" w:type="dxa"/>
              <w:bottom w:w="0" w:type="dxa"/>
            </w:tcMar>
            <w:vAlign w:val="center"/>
          </w:tcPr>
          <w:p w:rsidR="000B5F65" w:rsidRDefault="0016462E">
            <w:pPr>
              <w:keepNext/>
              <w:keepLines/>
              <w:spacing w:after="0" w:line="240" w:lineRule="auto"/>
              <w:jc w:val="right"/>
            </w:pPr>
            <w:r>
              <w:rPr>
                <w:sz w:val="18"/>
              </w:rPr>
              <w:t>187,3</w:t>
            </w:r>
          </w:p>
        </w:tc>
      </w:tr>
    </w:tbl>
    <w:p w:rsidR="000B5F65" w:rsidRDefault="000B5F65">
      <w:pPr>
        <w:spacing w:after="0"/>
      </w:pPr>
    </w:p>
    <w:p w:rsidR="000B5F65" w:rsidRDefault="0016462E">
      <w:r>
        <w:t>U 2025. godini ostvareni rashodi za nabavu proizvedene dugotrajne imovine u iznosu od 17.085.653,02 EUR. Najznačajniji rashodi odnose se na ulaganja u računalne programe (nadogradnju aplikacija koje se koriste u pomorstvu), nabavu radarskih uređaja, isporuku 12 brodica u okviru obnove SAR flote lučkih kapetanija, nabavu 10 službenih vozila i 2 kombi vozila za inspekciju cestovnog prometa sukladno Nacionalnom planu sigurnosti cestovnog prometa RH za što je MUP prenio sredstva Ministarstvu i nabavu komunikacijske opreme za obilježavanje plovnih putova u okviru projekta CEF FAIRWAY Danube2 u iznosu od 664.183,89 EUR.</w:t>
      </w:r>
    </w:p>
    <w:p w:rsidR="000B5F65" w:rsidRDefault="000B5F65"/>
    <w:p w:rsidR="000B5F65" w:rsidRDefault="0016462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45</w:t>
            </w:r>
          </w:p>
        </w:tc>
        <w:tc>
          <w:tcPr>
            <w:tcW w:w="3180" w:type="dxa"/>
            <w:tcMar>
              <w:top w:w="0" w:type="dxa"/>
              <w:bottom w:w="0" w:type="dxa"/>
            </w:tcMar>
            <w:vAlign w:val="center"/>
          </w:tcPr>
          <w:p w:rsidR="000B5F65" w:rsidRDefault="0016462E">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rsidR="000B5F65" w:rsidRDefault="0016462E">
            <w:pPr>
              <w:keepNext/>
              <w:keepLines/>
              <w:spacing w:after="0" w:line="240" w:lineRule="auto"/>
            </w:pPr>
            <w:r>
              <w:rPr>
                <w:sz w:val="18"/>
              </w:rPr>
              <w:t>45</w:t>
            </w:r>
          </w:p>
        </w:tc>
        <w:tc>
          <w:tcPr>
            <w:tcW w:w="1860" w:type="dxa"/>
            <w:tcMar>
              <w:top w:w="0" w:type="dxa"/>
              <w:bottom w:w="0" w:type="dxa"/>
            </w:tcMar>
            <w:vAlign w:val="center"/>
          </w:tcPr>
          <w:p w:rsidR="000B5F65" w:rsidRDefault="0016462E">
            <w:pPr>
              <w:keepNext/>
              <w:keepLines/>
              <w:spacing w:after="0" w:line="240" w:lineRule="auto"/>
              <w:jc w:val="right"/>
            </w:pPr>
            <w:r>
              <w:rPr>
                <w:sz w:val="18"/>
              </w:rPr>
              <w:t>287.776,60</w:t>
            </w:r>
          </w:p>
        </w:tc>
        <w:tc>
          <w:tcPr>
            <w:tcW w:w="1860" w:type="dxa"/>
            <w:tcMar>
              <w:top w:w="0" w:type="dxa"/>
              <w:bottom w:w="0" w:type="dxa"/>
            </w:tcMar>
            <w:vAlign w:val="center"/>
          </w:tcPr>
          <w:p w:rsidR="000B5F65" w:rsidRDefault="0016462E">
            <w:pPr>
              <w:keepNext/>
              <w:keepLines/>
              <w:spacing w:after="0" w:line="240" w:lineRule="auto"/>
              <w:jc w:val="right"/>
            </w:pPr>
            <w:r>
              <w:rPr>
                <w:sz w:val="18"/>
              </w:rPr>
              <w:t>537.650,50</w:t>
            </w:r>
          </w:p>
        </w:tc>
        <w:tc>
          <w:tcPr>
            <w:tcW w:w="700" w:type="dxa"/>
            <w:tcMar>
              <w:top w:w="0" w:type="dxa"/>
              <w:bottom w:w="0" w:type="dxa"/>
            </w:tcMar>
            <w:vAlign w:val="center"/>
          </w:tcPr>
          <w:p w:rsidR="000B5F65" w:rsidRDefault="0016462E">
            <w:pPr>
              <w:keepNext/>
              <w:keepLines/>
              <w:spacing w:after="0" w:line="240" w:lineRule="auto"/>
              <w:jc w:val="right"/>
            </w:pPr>
            <w:r>
              <w:rPr>
                <w:sz w:val="18"/>
              </w:rPr>
              <w:t>186,8</w:t>
            </w:r>
          </w:p>
        </w:tc>
      </w:tr>
    </w:tbl>
    <w:p w:rsidR="000B5F65" w:rsidRDefault="000B5F65">
      <w:pPr>
        <w:spacing w:after="0"/>
      </w:pPr>
    </w:p>
    <w:p w:rsidR="000B5F65" w:rsidRDefault="0016462E">
      <w:r>
        <w:t>U 2025. godini izvršena su dodatna ulaganja na poslovnoj zgradi LI Poreč, poslovnoj zgradi Kockica (izgradnja sunčane elektrane) i zgradi NCC Sisak. Izvršena su i dodatna ulaganja na brodu Kraljica mora.</w:t>
      </w:r>
    </w:p>
    <w:p w:rsidR="000B5F65" w:rsidRDefault="000B5F65"/>
    <w:p w:rsidR="000B5F65" w:rsidRDefault="0016462E">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84</w:t>
            </w:r>
          </w:p>
        </w:tc>
        <w:tc>
          <w:tcPr>
            <w:tcW w:w="3180" w:type="dxa"/>
            <w:tcMar>
              <w:top w:w="0" w:type="dxa"/>
              <w:bottom w:w="0" w:type="dxa"/>
            </w:tcMar>
            <w:vAlign w:val="center"/>
          </w:tcPr>
          <w:p w:rsidR="000B5F65" w:rsidRDefault="0016462E">
            <w:pPr>
              <w:keepNext/>
              <w:keepLines/>
              <w:spacing w:after="0" w:line="240" w:lineRule="auto"/>
            </w:pPr>
            <w:r>
              <w:rPr>
                <w:sz w:val="18"/>
              </w:rPr>
              <w:t>Primici od zaduživanja (šifre 841+842+843+844+845+847)</w:t>
            </w:r>
          </w:p>
        </w:tc>
        <w:tc>
          <w:tcPr>
            <w:tcW w:w="700" w:type="dxa"/>
            <w:tcMar>
              <w:top w:w="0" w:type="dxa"/>
              <w:bottom w:w="0" w:type="dxa"/>
            </w:tcMar>
            <w:vAlign w:val="center"/>
          </w:tcPr>
          <w:p w:rsidR="000B5F65" w:rsidRDefault="0016462E">
            <w:pPr>
              <w:keepNext/>
              <w:keepLines/>
              <w:spacing w:after="0" w:line="240" w:lineRule="auto"/>
            </w:pPr>
            <w:r>
              <w:rPr>
                <w:sz w:val="18"/>
              </w:rPr>
              <w:t>84</w:t>
            </w:r>
          </w:p>
        </w:tc>
        <w:tc>
          <w:tcPr>
            <w:tcW w:w="1860" w:type="dxa"/>
            <w:tcMar>
              <w:top w:w="0" w:type="dxa"/>
              <w:bottom w:w="0" w:type="dxa"/>
            </w:tcMar>
            <w:vAlign w:val="center"/>
          </w:tcPr>
          <w:p w:rsidR="000B5F65" w:rsidRDefault="0016462E">
            <w:pPr>
              <w:keepNext/>
              <w:keepLines/>
              <w:spacing w:after="0" w:line="240" w:lineRule="auto"/>
              <w:jc w:val="right"/>
            </w:pPr>
            <w:r>
              <w:rPr>
                <w:sz w:val="18"/>
              </w:rPr>
              <w:t>108.500.000,00</w:t>
            </w:r>
          </w:p>
        </w:tc>
        <w:tc>
          <w:tcPr>
            <w:tcW w:w="1860" w:type="dxa"/>
            <w:tcMar>
              <w:top w:w="0" w:type="dxa"/>
              <w:bottom w:w="0" w:type="dxa"/>
            </w:tcMar>
            <w:vAlign w:val="center"/>
          </w:tcPr>
          <w:p w:rsidR="000B5F65" w:rsidRDefault="0016462E">
            <w:pPr>
              <w:keepNext/>
              <w:keepLines/>
              <w:spacing w:after="0" w:line="240" w:lineRule="auto"/>
              <w:jc w:val="right"/>
            </w:pPr>
            <w:r>
              <w:rPr>
                <w:sz w:val="18"/>
              </w:rPr>
              <w:t>134.215.570,17</w:t>
            </w:r>
          </w:p>
        </w:tc>
        <w:tc>
          <w:tcPr>
            <w:tcW w:w="700" w:type="dxa"/>
            <w:tcMar>
              <w:top w:w="0" w:type="dxa"/>
              <w:bottom w:w="0" w:type="dxa"/>
            </w:tcMar>
            <w:vAlign w:val="center"/>
          </w:tcPr>
          <w:p w:rsidR="000B5F65" w:rsidRDefault="0016462E">
            <w:pPr>
              <w:keepNext/>
              <w:keepLines/>
              <w:spacing w:after="0" w:line="240" w:lineRule="auto"/>
              <w:jc w:val="right"/>
            </w:pPr>
            <w:r>
              <w:rPr>
                <w:sz w:val="18"/>
              </w:rPr>
              <w:t>123,7</w:t>
            </w:r>
          </w:p>
        </w:tc>
      </w:tr>
    </w:tbl>
    <w:p w:rsidR="000B5F65" w:rsidRDefault="000B5F65">
      <w:pPr>
        <w:spacing w:after="0"/>
      </w:pPr>
    </w:p>
    <w:p w:rsidR="000B5F65" w:rsidRDefault="0016462E">
      <w:r>
        <w:t xml:space="preserve">14.02.2025. uplaćena je druga tranša zajma 95.797 EIB-a za projekt Revitalizacija željezničkog sustava u Republici Hrvatskoj u iznosu od 134,2 </w:t>
      </w:r>
      <w:proofErr w:type="spellStart"/>
      <w:r>
        <w:t>mil</w:t>
      </w:r>
      <w:proofErr w:type="spellEnd"/>
      <w:r>
        <w:t xml:space="preserve"> EUR, a u 2024. prva tranša zajma je uplaćena u iznosu od 108,5 </w:t>
      </w:r>
      <w:proofErr w:type="spellStart"/>
      <w:r>
        <w:t>mil</w:t>
      </w:r>
      <w:proofErr w:type="spellEnd"/>
      <w:r>
        <w:t xml:space="preserve"> EUR.</w:t>
      </w:r>
    </w:p>
    <w:p w:rsidR="000B5F65" w:rsidRDefault="000B5F65"/>
    <w:p w:rsidR="000B5F65" w:rsidRDefault="0016462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51</w:t>
            </w:r>
          </w:p>
        </w:tc>
        <w:tc>
          <w:tcPr>
            <w:tcW w:w="3180" w:type="dxa"/>
            <w:tcMar>
              <w:top w:w="0" w:type="dxa"/>
              <w:bottom w:w="0" w:type="dxa"/>
            </w:tcMar>
            <w:vAlign w:val="center"/>
          </w:tcPr>
          <w:p w:rsidR="000B5F65" w:rsidRDefault="0016462E">
            <w:pPr>
              <w:keepNext/>
              <w:keepLines/>
              <w:spacing w:after="0" w:line="240" w:lineRule="auto"/>
            </w:pPr>
            <w:r>
              <w:rPr>
                <w:sz w:val="18"/>
              </w:rPr>
              <w:t xml:space="preserve">Izdaci za dane zajmove i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(šifre 511+512+513+514+515+516+517+518)</w:t>
            </w:r>
          </w:p>
        </w:tc>
        <w:tc>
          <w:tcPr>
            <w:tcW w:w="700" w:type="dxa"/>
            <w:tcMar>
              <w:top w:w="0" w:type="dxa"/>
              <w:bottom w:w="0" w:type="dxa"/>
            </w:tcMar>
            <w:vAlign w:val="center"/>
          </w:tcPr>
          <w:p w:rsidR="000B5F65" w:rsidRDefault="0016462E">
            <w:pPr>
              <w:keepNext/>
              <w:keepLines/>
              <w:spacing w:after="0" w:line="240" w:lineRule="auto"/>
            </w:pPr>
            <w:r>
              <w:rPr>
                <w:sz w:val="18"/>
              </w:rPr>
              <w:t>51</w:t>
            </w:r>
          </w:p>
        </w:tc>
        <w:tc>
          <w:tcPr>
            <w:tcW w:w="1860" w:type="dxa"/>
            <w:tcMar>
              <w:top w:w="0" w:type="dxa"/>
              <w:bottom w:w="0" w:type="dxa"/>
            </w:tcMar>
            <w:vAlign w:val="center"/>
          </w:tcPr>
          <w:p w:rsidR="000B5F65" w:rsidRDefault="0016462E">
            <w:pPr>
              <w:keepNext/>
              <w:keepLines/>
              <w:spacing w:after="0" w:line="240" w:lineRule="auto"/>
              <w:jc w:val="right"/>
            </w:pPr>
            <w:r>
              <w:rPr>
                <w:sz w:val="18"/>
              </w:rPr>
              <w:t>720.749,60</w:t>
            </w:r>
          </w:p>
        </w:tc>
        <w:tc>
          <w:tcPr>
            <w:tcW w:w="1860" w:type="dxa"/>
            <w:tcMar>
              <w:top w:w="0" w:type="dxa"/>
              <w:bottom w:w="0" w:type="dxa"/>
            </w:tcMar>
            <w:vAlign w:val="center"/>
          </w:tcPr>
          <w:p w:rsidR="000B5F65" w:rsidRDefault="0016462E">
            <w:pPr>
              <w:keepNext/>
              <w:keepLines/>
              <w:spacing w:after="0" w:line="240" w:lineRule="auto"/>
              <w:jc w:val="right"/>
            </w:pPr>
            <w:r>
              <w:rPr>
                <w:sz w:val="18"/>
              </w:rPr>
              <w:t>0,00</w:t>
            </w:r>
          </w:p>
        </w:tc>
        <w:tc>
          <w:tcPr>
            <w:tcW w:w="700" w:type="dxa"/>
            <w:tcMar>
              <w:top w:w="0" w:type="dxa"/>
              <w:bottom w:w="0" w:type="dxa"/>
            </w:tcMar>
            <w:vAlign w:val="center"/>
          </w:tcPr>
          <w:p w:rsidR="000B5F65" w:rsidRDefault="0016462E">
            <w:pPr>
              <w:keepNext/>
              <w:keepLines/>
              <w:spacing w:after="0" w:line="240" w:lineRule="auto"/>
              <w:jc w:val="right"/>
            </w:pPr>
            <w:r>
              <w:rPr>
                <w:sz w:val="18"/>
              </w:rPr>
              <w:t>0</w:t>
            </w:r>
          </w:p>
        </w:tc>
      </w:tr>
    </w:tbl>
    <w:p w:rsidR="000B5F65" w:rsidRDefault="000B5F65">
      <w:pPr>
        <w:spacing w:after="0"/>
      </w:pPr>
    </w:p>
    <w:p w:rsidR="000B5F65" w:rsidRDefault="0016462E">
      <w:r>
        <w:t>U  2024. godini Autocesti Zagreb-Macelj je po koncesijskom ugovoru isplaćen doprinos za pad prometa u iznosu od 720.749,60 EUR koji je vraćen tijekom godine, a u 2025. godini doprinos za pad prometa, sukladno odredbama iz koncesijskog ugovora, nije isplaćen.</w:t>
      </w:r>
    </w:p>
    <w:p w:rsidR="000B5F65" w:rsidRDefault="000B5F65"/>
    <w:p w:rsidR="000B5F65" w:rsidRDefault="0016462E">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53</w:t>
            </w:r>
          </w:p>
        </w:tc>
        <w:tc>
          <w:tcPr>
            <w:tcW w:w="3180" w:type="dxa"/>
            <w:tcMar>
              <w:top w:w="0" w:type="dxa"/>
              <w:bottom w:w="0" w:type="dxa"/>
            </w:tcMar>
            <w:vAlign w:val="center"/>
          </w:tcPr>
          <w:p w:rsidR="000B5F65" w:rsidRDefault="0016462E">
            <w:pPr>
              <w:keepNext/>
              <w:keepLines/>
              <w:spacing w:after="0" w:line="240" w:lineRule="auto"/>
            </w:pPr>
            <w:r>
              <w:rPr>
                <w:sz w:val="18"/>
              </w:rPr>
              <w:t>Izdaci za ulaganja u financijske instrumente - dionice i udjele u glavnici (šifre 531+532+533+534)</w:t>
            </w:r>
          </w:p>
        </w:tc>
        <w:tc>
          <w:tcPr>
            <w:tcW w:w="700" w:type="dxa"/>
            <w:tcMar>
              <w:top w:w="0" w:type="dxa"/>
              <w:bottom w:w="0" w:type="dxa"/>
            </w:tcMar>
            <w:vAlign w:val="center"/>
          </w:tcPr>
          <w:p w:rsidR="000B5F65" w:rsidRDefault="0016462E">
            <w:pPr>
              <w:keepNext/>
              <w:keepLines/>
              <w:spacing w:after="0" w:line="240" w:lineRule="auto"/>
            </w:pPr>
            <w:r>
              <w:rPr>
                <w:sz w:val="18"/>
              </w:rPr>
              <w:t>53</w:t>
            </w:r>
          </w:p>
        </w:tc>
        <w:tc>
          <w:tcPr>
            <w:tcW w:w="1860" w:type="dxa"/>
            <w:tcMar>
              <w:top w:w="0" w:type="dxa"/>
              <w:bottom w:w="0" w:type="dxa"/>
            </w:tcMar>
            <w:vAlign w:val="center"/>
          </w:tcPr>
          <w:p w:rsidR="000B5F65" w:rsidRDefault="0016462E">
            <w:pPr>
              <w:keepNext/>
              <w:keepLines/>
              <w:spacing w:after="0" w:line="240" w:lineRule="auto"/>
              <w:jc w:val="right"/>
            </w:pPr>
            <w:r>
              <w:rPr>
                <w:sz w:val="18"/>
              </w:rPr>
              <w:t>0,00</w:t>
            </w:r>
          </w:p>
        </w:tc>
        <w:tc>
          <w:tcPr>
            <w:tcW w:w="1860" w:type="dxa"/>
            <w:tcMar>
              <w:top w:w="0" w:type="dxa"/>
              <w:bottom w:w="0" w:type="dxa"/>
            </w:tcMar>
            <w:vAlign w:val="center"/>
          </w:tcPr>
          <w:p w:rsidR="000B5F65" w:rsidRDefault="0016462E">
            <w:pPr>
              <w:keepNext/>
              <w:keepLines/>
              <w:spacing w:after="0" w:line="240" w:lineRule="auto"/>
              <w:jc w:val="right"/>
            </w:pPr>
            <w:r>
              <w:rPr>
                <w:sz w:val="18"/>
              </w:rPr>
              <w:t>28.169.765,10</w:t>
            </w:r>
          </w:p>
        </w:tc>
        <w:tc>
          <w:tcPr>
            <w:tcW w:w="700" w:type="dxa"/>
            <w:tcMar>
              <w:top w:w="0" w:type="dxa"/>
              <w:bottom w:w="0" w:type="dxa"/>
            </w:tcMar>
            <w:vAlign w:val="center"/>
          </w:tcPr>
          <w:p w:rsidR="000B5F65" w:rsidRDefault="0016462E">
            <w:pPr>
              <w:keepNext/>
              <w:keepLines/>
              <w:spacing w:after="0" w:line="240" w:lineRule="auto"/>
              <w:jc w:val="right"/>
            </w:pPr>
            <w:r>
              <w:rPr>
                <w:sz w:val="18"/>
              </w:rPr>
              <w:t>-</w:t>
            </w:r>
          </w:p>
        </w:tc>
      </w:tr>
    </w:tbl>
    <w:p w:rsidR="000B5F65" w:rsidRDefault="000B5F65">
      <w:pPr>
        <w:spacing w:after="0"/>
      </w:pPr>
    </w:p>
    <w:p w:rsidR="000B5F65" w:rsidRDefault="0016462E">
      <w:r>
        <w:t xml:space="preserve">U 2025. godini uplaćen je osnivački ulog za zračnu luku Srce Dalmacije d.o.o. u iznosu od 1.650,00 EUR. Na temelju Odluke o prihvaćanju nagodbe između Republike Hrvatske i HŽ Infrastrukture d.o.o. o uređenju imovinsko-pravnih pitanja preostalih nakon podjele HŽ-Hrvatske željeznice d.o.o., dana 7. siječnja 2025. godine sklopljena je nagodba između Republike Hrvatske i društva HŽ Infrastruktura d.o.o. U skladu s odredbama članka 5.2. Nagodbe iznos od 25 </w:t>
      </w:r>
      <w:proofErr w:type="spellStart"/>
      <w:r>
        <w:t>mil</w:t>
      </w:r>
      <w:proofErr w:type="spellEnd"/>
      <w:r>
        <w:t xml:space="preserve"> EUR Ministarstvo je isplatilo je na žiro račun društva HŽ Infrastruktura d.o.o.</w:t>
      </w:r>
    </w:p>
    <w:p w:rsidR="000B5F65" w:rsidRDefault="0016462E">
      <w:r>
        <w:t>Na temelju Odluke o prihvaćanju nagodbe između Republike Hrvatske i HŽ Putničkog prijevoza d.o.o. o uređenju imovinsko-pravnih pitanja preostalih nakon podjele HŽ-Hrvatske željeznice d.o.o. dana 11. veljače  2025. godine sklopljena je nagodba između Republike Hrvatske i društva HŽ Putnički prijevoz d.o.o. U skladu s odredbama članka 5.2. Nagodbe iznos od 3.168.115,10 EUR uplaćen je društvu HŽ Putnički prijevoz d.o.o.</w:t>
      </w:r>
    </w:p>
    <w:p w:rsidR="000B5F65" w:rsidRDefault="000B5F65"/>
    <w:p w:rsidR="000B5F65" w:rsidRDefault="0016462E">
      <w:pPr>
        <w:keepNext/>
        <w:spacing w:line="240" w:lineRule="auto"/>
        <w:jc w:val="center"/>
      </w:pPr>
      <w:r>
        <w:rPr>
          <w:b/>
          <w:sz w:val="28"/>
        </w:rPr>
        <w:lastRenderedPageBreak/>
        <w:t>Bilanca</w:t>
      </w:r>
    </w:p>
    <w:p w:rsidR="000B5F65" w:rsidRDefault="0016462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01</w:t>
            </w:r>
          </w:p>
        </w:tc>
        <w:tc>
          <w:tcPr>
            <w:tcW w:w="3180" w:type="dxa"/>
            <w:tcMar>
              <w:top w:w="0" w:type="dxa"/>
              <w:bottom w:w="0" w:type="dxa"/>
            </w:tcMar>
            <w:vAlign w:val="center"/>
          </w:tcPr>
          <w:p w:rsidR="000B5F65" w:rsidRDefault="0016462E">
            <w:pPr>
              <w:keepNext/>
              <w:keepLines/>
              <w:spacing w:after="0" w:line="240" w:lineRule="auto"/>
            </w:pPr>
            <w:proofErr w:type="spellStart"/>
            <w:r>
              <w:rPr>
                <w:sz w:val="18"/>
              </w:rPr>
              <w:t>Neproizvedena</w:t>
            </w:r>
            <w:proofErr w:type="spellEnd"/>
            <w:r>
              <w:rPr>
                <w:sz w:val="18"/>
              </w:rPr>
              <w:t xml:space="preserve"> dugotrajna imovina (šifre 011+012-019)</w:t>
            </w:r>
          </w:p>
        </w:tc>
        <w:tc>
          <w:tcPr>
            <w:tcW w:w="700" w:type="dxa"/>
            <w:tcMar>
              <w:top w:w="0" w:type="dxa"/>
              <w:bottom w:w="0" w:type="dxa"/>
            </w:tcMar>
            <w:vAlign w:val="center"/>
          </w:tcPr>
          <w:p w:rsidR="000B5F65" w:rsidRDefault="0016462E">
            <w:pPr>
              <w:keepNext/>
              <w:keepLines/>
              <w:spacing w:after="0" w:line="240" w:lineRule="auto"/>
            </w:pPr>
            <w:r>
              <w:rPr>
                <w:sz w:val="18"/>
              </w:rPr>
              <w:t>01</w:t>
            </w:r>
          </w:p>
        </w:tc>
        <w:tc>
          <w:tcPr>
            <w:tcW w:w="1860" w:type="dxa"/>
            <w:tcMar>
              <w:top w:w="0" w:type="dxa"/>
              <w:bottom w:w="0" w:type="dxa"/>
            </w:tcMar>
            <w:vAlign w:val="center"/>
          </w:tcPr>
          <w:p w:rsidR="000B5F65" w:rsidRDefault="0016462E">
            <w:pPr>
              <w:keepNext/>
              <w:keepLines/>
              <w:spacing w:after="0" w:line="240" w:lineRule="auto"/>
              <w:jc w:val="right"/>
            </w:pPr>
            <w:r>
              <w:rPr>
                <w:sz w:val="18"/>
              </w:rPr>
              <w:t>2.749.908,57</w:t>
            </w:r>
          </w:p>
        </w:tc>
        <w:tc>
          <w:tcPr>
            <w:tcW w:w="1860" w:type="dxa"/>
            <w:tcMar>
              <w:top w:w="0" w:type="dxa"/>
              <w:bottom w:w="0" w:type="dxa"/>
            </w:tcMar>
            <w:vAlign w:val="center"/>
          </w:tcPr>
          <w:p w:rsidR="000B5F65" w:rsidRDefault="0016462E">
            <w:pPr>
              <w:keepNext/>
              <w:keepLines/>
              <w:spacing w:after="0" w:line="240" w:lineRule="auto"/>
              <w:jc w:val="right"/>
            </w:pPr>
            <w:r>
              <w:rPr>
                <w:sz w:val="18"/>
              </w:rPr>
              <w:t>2.128.539,17</w:t>
            </w:r>
          </w:p>
        </w:tc>
        <w:tc>
          <w:tcPr>
            <w:tcW w:w="700" w:type="dxa"/>
            <w:tcMar>
              <w:top w:w="0" w:type="dxa"/>
              <w:bottom w:w="0" w:type="dxa"/>
            </w:tcMar>
            <w:vAlign w:val="center"/>
          </w:tcPr>
          <w:p w:rsidR="000B5F65" w:rsidRDefault="0016462E">
            <w:pPr>
              <w:keepNext/>
              <w:keepLines/>
              <w:spacing w:after="0" w:line="240" w:lineRule="auto"/>
              <w:jc w:val="right"/>
            </w:pPr>
            <w:r>
              <w:rPr>
                <w:sz w:val="18"/>
              </w:rPr>
              <w:t>77,4</w:t>
            </w:r>
          </w:p>
        </w:tc>
      </w:tr>
    </w:tbl>
    <w:p w:rsidR="000B5F65" w:rsidRDefault="000B5F65">
      <w:pPr>
        <w:spacing w:after="0"/>
      </w:pPr>
    </w:p>
    <w:p w:rsidR="000B5F65" w:rsidRDefault="0016462E">
      <w:r>
        <w:t>Isknjižena je vrijednost zemljišta u Zadru u iznosu od 250.880,69 EUR. Odgovor Odjela za katastar nekretnina Zadar na upit u vezi Rješenja iz 1987. godine sadrži kopiju Rješenja u kojem se navodi da je nekretnina koja je vezana uz Projekt šume LK u privatnom vlasništvu. Pregledom zemljišnih knjiga Općinskog suda u Zadru utvrđeno je da predmetne nekretnine nemaju poveznicu s vlasništvom Republike Hrvatske, te se isto ne vodi u evidenciji Središnjeg registra državne imovine. Temeljem svega navedenog Projekt šume LK je isknjižen iz knjige imovine Ministarstva mora, prometa i infrastrukture.</w:t>
      </w:r>
    </w:p>
    <w:p w:rsidR="000B5F65" w:rsidRDefault="0016462E">
      <w:r>
        <w:t xml:space="preserve">Vrijednost </w:t>
      </w:r>
      <w:proofErr w:type="spellStart"/>
      <w:r>
        <w:t>neproizvedene</w:t>
      </w:r>
      <w:proofErr w:type="spellEnd"/>
      <w:r>
        <w:t xml:space="preserve"> dugotrajne imovine uvećana je za vrijednost nabavljenih licenci u iznosu od 498.433,62 EUR. U 2025. Nabavljene su Microsoft licence, licence za nadogradnju </w:t>
      </w:r>
      <w:proofErr w:type="spellStart"/>
      <w:r>
        <w:t>vatrozid</w:t>
      </w:r>
      <w:proofErr w:type="spellEnd"/>
      <w:r>
        <w:t xml:space="preserve"> sustava i licence za izradu ENC </w:t>
      </w:r>
      <w:proofErr w:type="spellStart"/>
      <w:r>
        <w:t>krata</w:t>
      </w:r>
      <w:proofErr w:type="spellEnd"/>
      <w:r>
        <w:t>.</w:t>
      </w:r>
    </w:p>
    <w:p w:rsidR="000B5F65" w:rsidRDefault="0016462E">
      <w:r>
        <w:t>Isknjižena je vrijednost projekta koji je doniran Gradu zagrebu temeljem Sporazuma o sufinanciranju radova uređenja parkirališta u iznosu od 22.287,50 EUR i  vrijednost projekta koji je rashodovan u iznosu od 4.811,20 EUR, a uvećana je vrijednost ostale nematerijalne imovine za 32.250,00 EUR za vrijednost izrade Akcijskog plana srednjoročnog razvitka vodnih putova, luka i pristaništa. </w:t>
      </w:r>
    </w:p>
    <w:p w:rsidR="000B5F65" w:rsidRDefault="000B5F65"/>
    <w:p w:rsidR="000B5F65" w:rsidRDefault="0016462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02</w:t>
            </w:r>
          </w:p>
        </w:tc>
        <w:tc>
          <w:tcPr>
            <w:tcW w:w="3180" w:type="dxa"/>
            <w:tcMar>
              <w:top w:w="0" w:type="dxa"/>
              <w:bottom w:w="0" w:type="dxa"/>
            </w:tcMar>
            <w:vAlign w:val="center"/>
          </w:tcPr>
          <w:p w:rsidR="000B5F65" w:rsidRDefault="0016462E">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rsidR="000B5F65" w:rsidRDefault="0016462E">
            <w:pPr>
              <w:keepNext/>
              <w:keepLines/>
              <w:spacing w:after="0" w:line="240" w:lineRule="auto"/>
            </w:pPr>
            <w:r>
              <w:rPr>
                <w:sz w:val="18"/>
              </w:rPr>
              <w:t>02</w:t>
            </w:r>
          </w:p>
        </w:tc>
        <w:tc>
          <w:tcPr>
            <w:tcW w:w="1860" w:type="dxa"/>
            <w:tcMar>
              <w:top w:w="0" w:type="dxa"/>
              <w:bottom w:w="0" w:type="dxa"/>
            </w:tcMar>
            <w:vAlign w:val="center"/>
          </w:tcPr>
          <w:p w:rsidR="000B5F65" w:rsidRDefault="0016462E">
            <w:pPr>
              <w:keepNext/>
              <w:keepLines/>
              <w:spacing w:after="0" w:line="240" w:lineRule="auto"/>
              <w:jc w:val="right"/>
            </w:pPr>
            <w:r>
              <w:rPr>
                <w:sz w:val="18"/>
              </w:rPr>
              <w:t>49.315.968,74</w:t>
            </w:r>
          </w:p>
        </w:tc>
        <w:tc>
          <w:tcPr>
            <w:tcW w:w="1860" w:type="dxa"/>
            <w:tcMar>
              <w:top w:w="0" w:type="dxa"/>
              <w:bottom w:w="0" w:type="dxa"/>
            </w:tcMar>
            <w:vAlign w:val="center"/>
          </w:tcPr>
          <w:p w:rsidR="000B5F65" w:rsidRDefault="0016462E">
            <w:pPr>
              <w:keepNext/>
              <w:keepLines/>
              <w:spacing w:after="0" w:line="240" w:lineRule="auto"/>
              <w:jc w:val="right"/>
            </w:pPr>
            <w:r>
              <w:rPr>
                <w:sz w:val="18"/>
              </w:rPr>
              <w:t>61.160.397,03</w:t>
            </w:r>
          </w:p>
        </w:tc>
        <w:tc>
          <w:tcPr>
            <w:tcW w:w="700" w:type="dxa"/>
            <w:tcMar>
              <w:top w:w="0" w:type="dxa"/>
              <w:bottom w:w="0" w:type="dxa"/>
            </w:tcMar>
            <w:vAlign w:val="center"/>
          </w:tcPr>
          <w:p w:rsidR="000B5F65" w:rsidRDefault="0016462E">
            <w:pPr>
              <w:keepNext/>
              <w:keepLines/>
              <w:spacing w:after="0" w:line="240" w:lineRule="auto"/>
              <w:jc w:val="right"/>
            </w:pPr>
            <w:r>
              <w:rPr>
                <w:sz w:val="18"/>
              </w:rPr>
              <w:t>124,0</w:t>
            </w:r>
          </w:p>
        </w:tc>
      </w:tr>
    </w:tbl>
    <w:p w:rsidR="000B5F65" w:rsidRDefault="000B5F65">
      <w:pPr>
        <w:spacing w:after="0"/>
      </w:pPr>
    </w:p>
    <w:p w:rsidR="000B5F65" w:rsidRDefault="0016462E">
      <w:r>
        <w:t>Završeni su radovi na obnovi LI Poreč, radovi na izgradnji solarne elektrane na krovu Kockice i obnova NCC centra u Sisku te je vrijednost poslovnih objekata uvećana za 585.821,21 EUR.</w:t>
      </w:r>
    </w:p>
    <w:p w:rsidR="000B5F65" w:rsidRDefault="0016462E">
      <w:r>
        <w:t>Tijekom 2025. godine nabavljena je uredska oprema i namještaj u iznosu od 383.403,84 EUR. Temeljem Zapisnika o zbrinjavanju rashodovane imovine isknjiženo je 229.476,76 EUR.</w:t>
      </w:r>
    </w:p>
    <w:p w:rsidR="000B5F65" w:rsidRDefault="0016462E">
      <w:r>
        <w:t>Komunikacijska oprema nabavljena je u vrijednosti od 1.215.676,02 EUR, na zbrinjavanje je dana zastarjela i neupotrebljiva komunikacijska oprema u iznosu od 27.716,23 EUR, a isknjižena je vrijednost komunikacijske opreme koja je bila ugrađena na brodice koje su donirane u iznosu od 20.758,18 EUR.</w:t>
      </w:r>
    </w:p>
    <w:p w:rsidR="000B5F65" w:rsidRDefault="0016462E">
      <w:r>
        <w:t xml:space="preserve">Oprema za održavanje i zaštitu, nabavljena je u iznosu od 31.935,18 EUR, a zbrinuta je oprema za održavanje i zaštitu koja više nije bila u upotrebi u iznosu od 4.040,33 EUR, a </w:t>
      </w:r>
      <w:r>
        <w:lastRenderedPageBreak/>
        <w:t>isknjižena je vrijednost opreme koja je bila ugrađena na brodice koje su donirane u iznosu od 2.644,00 EUR .</w:t>
      </w:r>
    </w:p>
    <w:p w:rsidR="000B5F65" w:rsidRDefault="0016462E">
      <w:r>
        <w:t>Nabavljeni su mjerni i kontrolni uređaji u vrijednosti od 1.450,00 EUR, a isknjižena je vrijednost zbrinutih mjernih i kontrolnih uređaja koji više nisu u upotrebi u iznosu od 1.745,40 EUR.</w:t>
      </w:r>
    </w:p>
    <w:p w:rsidR="000B5F65" w:rsidRDefault="0016462E">
      <w:r>
        <w:t>Uređaji, strojevi i oprema za ostale namjene nabavljeni su u iznosu od 1.816.639,15 EUR (od čega je najznačajnija vrijednost nabava radarskih sustava), zbrinuti su uređaji i oprema u iznosu od 67.729,18 EUR. Isknjižena je vrijednost opreme na brodicama koje su doniran u iznosu od 6.507,93 EUR i vrijednost uređaja temeljem Sporazuma o prijenosu osnovnih sredstava bez naknade MUP-u u iznosu od 10.937,50 EUR.</w:t>
      </w:r>
    </w:p>
    <w:p w:rsidR="000B5F65" w:rsidRDefault="0016462E">
      <w:r>
        <w:t>Ministarstvo je tijekom 2025. godine prodalo 7 vozila te je isknjižena vrijednost prodanih vozila u iznosu od 153.880,05 EUR, a nabavljeno je 12 vozila u vrijednosti 466.139,78 EUR. Završena je izgradnja  12 brodica u vrijednosti 12.619.840,55 EUR, prodano je 5 brodica, a 5 brodica je donirano.</w:t>
      </w:r>
    </w:p>
    <w:p w:rsidR="000B5F65" w:rsidRDefault="0016462E">
      <w:r>
        <w:t>U 2025. godini izvršena je nadogradnja računalnih aplikacija u iznosu od 771.212,50 EUR.</w:t>
      </w:r>
    </w:p>
    <w:p w:rsidR="000B5F65" w:rsidRDefault="000B5F65"/>
    <w:p w:rsidR="000B5F65" w:rsidRDefault="0016462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05</w:t>
            </w:r>
          </w:p>
        </w:tc>
        <w:tc>
          <w:tcPr>
            <w:tcW w:w="3180" w:type="dxa"/>
            <w:tcMar>
              <w:top w:w="0" w:type="dxa"/>
              <w:bottom w:w="0" w:type="dxa"/>
            </w:tcMar>
            <w:vAlign w:val="center"/>
          </w:tcPr>
          <w:p w:rsidR="000B5F65" w:rsidRDefault="0016462E">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rsidR="000B5F65" w:rsidRDefault="0016462E">
            <w:pPr>
              <w:keepNext/>
              <w:keepLines/>
              <w:spacing w:after="0" w:line="240" w:lineRule="auto"/>
            </w:pPr>
            <w:r>
              <w:rPr>
                <w:sz w:val="18"/>
              </w:rPr>
              <w:t>05</w:t>
            </w:r>
          </w:p>
        </w:tc>
        <w:tc>
          <w:tcPr>
            <w:tcW w:w="1860" w:type="dxa"/>
            <w:tcMar>
              <w:top w:w="0" w:type="dxa"/>
              <w:bottom w:w="0" w:type="dxa"/>
            </w:tcMar>
            <w:vAlign w:val="center"/>
          </w:tcPr>
          <w:p w:rsidR="000B5F65" w:rsidRDefault="0016462E">
            <w:pPr>
              <w:keepNext/>
              <w:keepLines/>
              <w:spacing w:after="0" w:line="240" w:lineRule="auto"/>
              <w:jc w:val="right"/>
            </w:pPr>
            <w:r>
              <w:rPr>
                <w:sz w:val="18"/>
              </w:rPr>
              <w:t>3.973.221,53</w:t>
            </w:r>
          </w:p>
        </w:tc>
        <w:tc>
          <w:tcPr>
            <w:tcW w:w="1860" w:type="dxa"/>
            <w:tcMar>
              <w:top w:w="0" w:type="dxa"/>
              <w:bottom w:w="0" w:type="dxa"/>
            </w:tcMar>
            <w:vAlign w:val="center"/>
          </w:tcPr>
          <w:p w:rsidR="000B5F65" w:rsidRDefault="0016462E">
            <w:pPr>
              <w:keepNext/>
              <w:keepLines/>
              <w:spacing w:after="0" w:line="240" w:lineRule="auto"/>
              <w:jc w:val="right"/>
            </w:pPr>
            <w:r>
              <w:rPr>
                <w:sz w:val="18"/>
              </w:rPr>
              <w:t>3.838.681,82</w:t>
            </w:r>
          </w:p>
        </w:tc>
        <w:tc>
          <w:tcPr>
            <w:tcW w:w="700" w:type="dxa"/>
            <w:tcMar>
              <w:top w:w="0" w:type="dxa"/>
              <w:bottom w:w="0" w:type="dxa"/>
            </w:tcMar>
            <w:vAlign w:val="center"/>
          </w:tcPr>
          <w:p w:rsidR="000B5F65" w:rsidRDefault="0016462E">
            <w:pPr>
              <w:keepNext/>
              <w:keepLines/>
              <w:spacing w:after="0" w:line="240" w:lineRule="auto"/>
              <w:jc w:val="right"/>
            </w:pPr>
            <w:r>
              <w:rPr>
                <w:sz w:val="18"/>
              </w:rPr>
              <w:t>96,6</w:t>
            </w:r>
          </w:p>
        </w:tc>
      </w:tr>
    </w:tbl>
    <w:p w:rsidR="000B5F65" w:rsidRDefault="000B5F65">
      <w:pPr>
        <w:spacing w:after="0"/>
      </w:pPr>
    </w:p>
    <w:p w:rsidR="000B5F65" w:rsidRDefault="0016462E">
      <w:r>
        <w:t>Nefinancijska imovina u pripremi 31.12.2025.:</w:t>
      </w:r>
    </w:p>
    <w:p w:rsidR="000B5F65" w:rsidRDefault="006757D9" w:rsidP="00D97A7C">
      <w:pPr>
        <w:tabs>
          <w:tab w:val="right" w:pos="426"/>
          <w:tab w:val="left" w:pos="567"/>
          <w:tab w:val="right" w:pos="8931"/>
        </w:tabs>
      </w:pPr>
      <w:r>
        <w:tab/>
      </w:r>
      <w:r w:rsidR="0016462E">
        <w:t>1.</w:t>
      </w:r>
      <w:r>
        <w:tab/>
      </w:r>
      <w:r w:rsidR="0016462E">
        <w:t>Komisija za ocjenu utjecaja zahvata na okoliš VKDS</w:t>
      </w:r>
      <w:r>
        <w:tab/>
      </w:r>
      <w:r w:rsidR="0016462E">
        <w:t>3.318,10</w:t>
      </w:r>
    </w:p>
    <w:p w:rsidR="000B5F65" w:rsidRDefault="006757D9" w:rsidP="00D97A7C">
      <w:pPr>
        <w:tabs>
          <w:tab w:val="right" w:pos="426"/>
          <w:tab w:val="left" w:pos="567"/>
          <w:tab w:val="right" w:pos="8931"/>
        </w:tabs>
      </w:pPr>
      <w:r>
        <w:tab/>
      </w:r>
      <w:r w:rsidR="0016462E">
        <w:t>2.</w:t>
      </w:r>
      <w:r>
        <w:tab/>
      </w:r>
      <w:r w:rsidR="0016462E">
        <w:t>Više namjenski kanal Dunav Sava ( VKDS )</w:t>
      </w:r>
      <w:r>
        <w:tab/>
      </w:r>
      <w:r w:rsidR="0016462E">
        <w:t>3.664.146,02</w:t>
      </w:r>
    </w:p>
    <w:p w:rsidR="000B5F65" w:rsidRDefault="006757D9" w:rsidP="00D97A7C">
      <w:pPr>
        <w:tabs>
          <w:tab w:val="right" w:pos="426"/>
          <w:tab w:val="left" w:pos="567"/>
          <w:tab w:val="right" w:pos="8931"/>
        </w:tabs>
      </w:pPr>
      <w:r>
        <w:tab/>
      </w:r>
      <w:r w:rsidR="0016462E">
        <w:t>3.</w:t>
      </w:r>
      <w:r>
        <w:tab/>
      </w:r>
      <w:r w:rsidR="0016462E">
        <w:t>Izrada projektn</w:t>
      </w:r>
      <w:bookmarkStart w:id="0" w:name="_GoBack"/>
      <w:bookmarkEnd w:id="0"/>
      <w:r w:rsidR="0016462E">
        <w:t>e dok. za promociju zelene plovidbe na Savi u Zagrebu</w:t>
      </w:r>
      <w:r>
        <w:tab/>
      </w:r>
      <w:r w:rsidR="0016462E">
        <w:t>29.729,91</w:t>
      </w:r>
    </w:p>
    <w:p w:rsidR="006757D9" w:rsidRDefault="006757D9" w:rsidP="00D97A7C">
      <w:pPr>
        <w:tabs>
          <w:tab w:val="right" w:pos="426"/>
          <w:tab w:val="left" w:pos="567"/>
          <w:tab w:val="right" w:pos="8931"/>
        </w:tabs>
      </w:pPr>
      <w:r>
        <w:tab/>
      </w:r>
      <w:r w:rsidR="0016462E">
        <w:t>4.</w:t>
      </w:r>
      <w:r>
        <w:tab/>
      </w:r>
      <w:r w:rsidR="0016462E">
        <w:t>Izrada studijsko - projektne dok. za uređenje plovnog puta i pristaništa</w:t>
      </w:r>
      <w:r>
        <w:br/>
      </w:r>
      <w:r>
        <w:tab/>
      </w:r>
      <w:r>
        <w:tab/>
      </w:r>
      <w:r w:rsidR="0016462E">
        <w:t>za brodove na rijeci Kupi - II. Faza</w:t>
      </w:r>
      <w:r>
        <w:tab/>
      </w:r>
      <w:r w:rsidR="0016462E">
        <w:t>133.875,00</w:t>
      </w:r>
    </w:p>
    <w:p w:rsidR="000B5F65" w:rsidRDefault="006757D9" w:rsidP="00D97A7C">
      <w:pPr>
        <w:tabs>
          <w:tab w:val="right" w:pos="426"/>
          <w:tab w:val="left" w:pos="567"/>
          <w:tab w:val="right" w:pos="8931"/>
        </w:tabs>
      </w:pPr>
      <w:r>
        <w:tab/>
      </w:r>
      <w:r w:rsidR="0016462E">
        <w:t>5.</w:t>
      </w:r>
      <w:r>
        <w:tab/>
      </w:r>
      <w:r w:rsidR="0016462E">
        <w:t>Obnova zgrade Lučke kapetanije Senj</w:t>
      </w:r>
      <w:r>
        <w:tab/>
      </w:r>
      <w:r w:rsidR="0016462E">
        <w:t>7.612,79</w:t>
      </w:r>
    </w:p>
    <w:p w:rsidR="000B5F65" w:rsidRPr="00D97A7C" w:rsidRDefault="006757D9" w:rsidP="006757D9">
      <w:pPr>
        <w:tabs>
          <w:tab w:val="right" w:pos="284"/>
          <w:tab w:val="left" w:pos="567"/>
          <w:tab w:val="right" w:pos="8931"/>
        </w:tabs>
        <w:rPr>
          <w:b/>
        </w:rPr>
      </w:pPr>
      <w:r w:rsidRPr="00D97A7C">
        <w:rPr>
          <w:b/>
        </w:rPr>
        <w:tab/>
      </w:r>
      <w:r w:rsidR="0016462E" w:rsidRPr="00D97A7C">
        <w:rPr>
          <w:b/>
        </w:rPr>
        <w:t>UKUPNO:</w:t>
      </w:r>
      <w:r w:rsidRPr="00D97A7C">
        <w:rPr>
          <w:b/>
        </w:rPr>
        <w:tab/>
      </w:r>
      <w:r w:rsidR="0016462E" w:rsidRPr="00D97A7C">
        <w:rPr>
          <w:b/>
        </w:rPr>
        <w:t>3.838.681,82</w:t>
      </w:r>
    </w:p>
    <w:p w:rsidR="000B5F65" w:rsidRDefault="000B5F65"/>
    <w:p w:rsidR="000B5F65" w:rsidRDefault="0016462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11</w:t>
            </w:r>
          </w:p>
        </w:tc>
        <w:tc>
          <w:tcPr>
            <w:tcW w:w="3180" w:type="dxa"/>
            <w:tcMar>
              <w:top w:w="0" w:type="dxa"/>
              <w:bottom w:w="0" w:type="dxa"/>
            </w:tcMar>
            <w:vAlign w:val="center"/>
          </w:tcPr>
          <w:p w:rsidR="000B5F65" w:rsidRDefault="0016462E">
            <w:pPr>
              <w:keepNext/>
              <w:keepLines/>
              <w:spacing w:after="0" w:line="240" w:lineRule="auto"/>
            </w:pPr>
            <w:r>
              <w:rPr>
                <w:sz w:val="18"/>
              </w:rPr>
              <w:t>Novac u banci i blagajni (šifre 111+112 do 114)</w:t>
            </w:r>
          </w:p>
        </w:tc>
        <w:tc>
          <w:tcPr>
            <w:tcW w:w="700" w:type="dxa"/>
            <w:tcMar>
              <w:top w:w="0" w:type="dxa"/>
              <w:bottom w:w="0" w:type="dxa"/>
            </w:tcMar>
            <w:vAlign w:val="center"/>
          </w:tcPr>
          <w:p w:rsidR="000B5F65" w:rsidRDefault="0016462E">
            <w:pPr>
              <w:keepNext/>
              <w:keepLines/>
              <w:spacing w:after="0" w:line="240" w:lineRule="auto"/>
            </w:pPr>
            <w:r>
              <w:rPr>
                <w:sz w:val="18"/>
              </w:rPr>
              <w:t>11</w:t>
            </w:r>
          </w:p>
        </w:tc>
        <w:tc>
          <w:tcPr>
            <w:tcW w:w="1860" w:type="dxa"/>
            <w:tcMar>
              <w:top w:w="0" w:type="dxa"/>
              <w:bottom w:w="0" w:type="dxa"/>
            </w:tcMar>
            <w:vAlign w:val="center"/>
          </w:tcPr>
          <w:p w:rsidR="000B5F65" w:rsidRDefault="0016462E">
            <w:pPr>
              <w:keepNext/>
              <w:keepLines/>
              <w:spacing w:after="0" w:line="240" w:lineRule="auto"/>
              <w:jc w:val="right"/>
            </w:pPr>
            <w:r>
              <w:rPr>
                <w:sz w:val="18"/>
              </w:rPr>
              <w:t>90,00</w:t>
            </w:r>
          </w:p>
        </w:tc>
        <w:tc>
          <w:tcPr>
            <w:tcW w:w="1860" w:type="dxa"/>
            <w:tcMar>
              <w:top w:w="0" w:type="dxa"/>
              <w:bottom w:w="0" w:type="dxa"/>
            </w:tcMar>
            <w:vAlign w:val="center"/>
          </w:tcPr>
          <w:p w:rsidR="000B5F65" w:rsidRDefault="0016462E">
            <w:pPr>
              <w:keepNext/>
              <w:keepLines/>
              <w:spacing w:after="0" w:line="240" w:lineRule="auto"/>
              <w:jc w:val="right"/>
            </w:pPr>
            <w:r>
              <w:rPr>
                <w:sz w:val="18"/>
              </w:rPr>
              <w:t>0,00</w:t>
            </w:r>
          </w:p>
        </w:tc>
        <w:tc>
          <w:tcPr>
            <w:tcW w:w="700" w:type="dxa"/>
            <w:tcMar>
              <w:top w:w="0" w:type="dxa"/>
              <w:bottom w:w="0" w:type="dxa"/>
            </w:tcMar>
            <w:vAlign w:val="center"/>
          </w:tcPr>
          <w:p w:rsidR="000B5F65" w:rsidRDefault="0016462E">
            <w:pPr>
              <w:keepNext/>
              <w:keepLines/>
              <w:spacing w:after="0" w:line="240" w:lineRule="auto"/>
              <w:jc w:val="right"/>
            </w:pPr>
            <w:r>
              <w:rPr>
                <w:sz w:val="18"/>
              </w:rPr>
              <w:t>0</w:t>
            </w:r>
          </w:p>
        </w:tc>
      </w:tr>
    </w:tbl>
    <w:p w:rsidR="000B5F65" w:rsidRDefault="000B5F65">
      <w:pPr>
        <w:spacing w:after="0"/>
      </w:pPr>
    </w:p>
    <w:p w:rsidR="000B5F65" w:rsidRDefault="0016462E">
      <w:r>
        <w:lastRenderedPageBreak/>
        <w:t>Sva plaćanja Ministarstvo obavlja putem Sustava državne riznice i nema otvorene račune za posebne namjene. Sva preostala sredstva u blagajnama na dan 31. 12. 2025. vraćena su u Državni proračun.</w:t>
      </w:r>
    </w:p>
    <w:p w:rsidR="000B5F65" w:rsidRDefault="000B5F65"/>
    <w:p w:rsidR="000B5F65" w:rsidRDefault="0016462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12</w:t>
            </w:r>
          </w:p>
        </w:tc>
        <w:tc>
          <w:tcPr>
            <w:tcW w:w="3180" w:type="dxa"/>
            <w:tcMar>
              <w:top w:w="0" w:type="dxa"/>
              <w:bottom w:w="0" w:type="dxa"/>
            </w:tcMar>
            <w:vAlign w:val="center"/>
          </w:tcPr>
          <w:p w:rsidR="000B5F65" w:rsidRDefault="0016462E">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r>
              <w:rPr>
                <w:sz w:val="18"/>
              </w:rPr>
              <w:t>, od zaposlenih te za više plaćene poreze i ostalo (šifre 122 do 124 - 125 + 129)</w:t>
            </w:r>
          </w:p>
        </w:tc>
        <w:tc>
          <w:tcPr>
            <w:tcW w:w="700" w:type="dxa"/>
            <w:tcMar>
              <w:top w:w="0" w:type="dxa"/>
              <w:bottom w:w="0" w:type="dxa"/>
            </w:tcMar>
            <w:vAlign w:val="center"/>
          </w:tcPr>
          <w:p w:rsidR="000B5F65" w:rsidRDefault="0016462E">
            <w:pPr>
              <w:keepNext/>
              <w:keepLines/>
              <w:spacing w:after="0" w:line="240" w:lineRule="auto"/>
            </w:pPr>
            <w:r>
              <w:rPr>
                <w:sz w:val="18"/>
              </w:rPr>
              <w:t>12</w:t>
            </w:r>
          </w:p>
        </w:tc>
        <w:tc>
          <w:tcPr>
            <w:tcW w:w="1860" w:type="dxa"/>
            <w:tcMar>
              <w:top w:w="0" w:type="dxa"/>
              <w:bottom w:w="0" w:type="dxa"/>
            </w:tcMar>
            <w:vAlign w:val="center"/>
          </w:tcPr>
          <w:p w:rsidR="000B5F65" w:rsidRDefault="0016462E">
            <w:pPr>
              <w:keepNext/>
              <w:keepLines/>
              <w:spacing w:after="0" w:line="240" w:lineRule="auto"/>
              <w:jc w:val="right"/>
            </w:pPr>
            <w:r>
              <w:rPr>
                <w:sz w:val="18"/>
              </w:rPr>
              <w:t>20.877.899,35</w:t>
            </w:r>
          </w:p>
        </w:tc>
        <w:tc>
          <w:tcPr>
            <w:tcW w:w="1860" w:type="dxa"/>
            <w:tcMar>
              <w:top w:w="0" w:type="dxa"/>
              <w:bottom w:w="0" w:type="dxa"/>
            </w:tcMar>
            <w:vAlign w:val="center"/>
          </w:tcPr>
          <w:p w:rsidR="000B5F65" w:rsidRDefault="0016462E">
            <w:pPr>
              <w:keepNext/>
              <w:keepLines/>
              <w:spacing w:after="0" w:line="240" w:lineRule="auto"/>
              <w:jc w:val="right"/>
            </w:pPr>
            <w:r>
              <w:rPr>
                <w:sz w:val="18"/>
              </w:rPr>
              <w:t>128.811.862,79</w:t>
            </w:r>
          </w:p>
        </w:tc>
        <w:tc>
          <w:tcPr>
            <w:tcW w:w="700" w:type="dxa"/>
            <w:tcMar>
              <w:top w:w="0" w:type="dxa"/>
              <w:bottom w:w="0" w:type="dxa"/>
            </w:tcMar>
            <w:vAlign w:val="center"/>
          </w:tcPr>
          <w:p w:rsidR="000B5F65" w:rsidRDefault="0016462E">
            <w:pPr>
              <w:keepNext/>
              <w:keepLines/>
              <w:spacing w:after="0" w:line="240" w:lineRule="auto"/>
              <w:jc w:val="right"/>
            </w:pPr>
            <w:r>
              <w:rPr>
                <w:sz w:val="18"/>
              </w:rPr>
              <w:t>617,0</w:t>
            </w:r>
          </w:p>
        </w:tc>
      </w:tr>
    </w:tbl>
    <w:p w:rsidR="000B5F65" w:rsidRDefault="000B5F65">
      <w:pPr>
        <w:spacing w:after="0"/>
      </w:pPr>
    </w:p>
    <w:p w:rsidR="000B5F65" w:rsidRDefault="0016462E">
      <w:r>
        <w:t xml:space="preserve">Depoziti, </w:t>
      </w:r>
      <w:proofErr w:type="spellStart"/>
      <w:r>
        <w:t>jamčevni</w:t>
      </w:r>
      <w:proofErr w:type="spellEnd"/>
      <w:r>
        <w:t xml:space="preserve"> </w:t>
      </w:r>
      <w:proofErr w:type="spellStart"/>
      <w:r>
        <w:t>polozi</w:t>
      </w:r>
      <w:proofErr w:type="spellEnd"/>
      <w:r>
        <w:t xml:space="preserve"> i potraživanja od zaposlenih te za više plaćene poreze i ostalo na dan 31.12.2025.:</w:t>
      </w:r>
    </w:p>
    <w:p w:rsidR="000B5F65" w:rsidRDefault="0016462E" w:rsidP="00D97A7C">
      <w:pPr>
        <w:tabs>
          <w:tab w:val="right" w:pos="8931"/>
        </w:tabs>
        <w:ind w:firstLine="284"/>
      </w:pPr>
      <w:r>
        <w:t>Ostala potraživanja od zaposlenih</w:t>
      </w:r>
      <w:r w:rsidR="006757D9">
        <w:tab/>
      </w:r>
      <w:r>
        <w:t>3.809,65</w:t>
      </w:r>
    </w:p>
    <w:p w:rsidR="000B5F65" w:rsidRDefault="0016462E" w:rsidP="00D97A7C">
      <w:pPr>
        <w:tabs>
          <w:tab w:val="right" w:pos="8931"/>
        </w:tabs>
        <w:ind w:firstLine="284"/>
      </w:pPr>
      <w:r>
        <w:t xml:space="preserve">Potraživ. od HZZO-a za </w:t>
      </w:r>
      <w:proofErr w:type="spellStart"/>
      <w:r>
        <w:t>ispl</w:t>
      </w:r>
      <w:proofErr w:type="spellEnd"/>
      <w:r>
        <w:t>. bolovanja preko 42 dana i ozljede na radu</w:t>
      </w:r>
      <w:r w:rsidR="006757D9">
        <w:tab/>
      </w:r>
      <w:r>
        <w:t>38.520,27</w:t>
      </w:r>
    </w:p>
    <w:p w:rsidR="000B5F65" w:rsidRDefault="0016462E" w:rsidP="00D97A7C">
      <w:pPr>
        <w:tabs>
          <w:tab w:val="right" w:pos="8931"/>
        </w:tabs>
        <w:ind w:firstLine="284"/>
      </w:pPr>
      <w:r>
        <w:t>Potraživanja za isplaćene rashode koji se refundiraju</w:t>
      </w:r>
      <w:r w:rsidR="006757D9">
        <w:tab/>
      </w:r>
      <w:r>
        <w:t>2.157,17</w:t>
      </w:r>
    </w:p>
    <w:p w:rsidR="000B5F65" w:rsidRDefault="0016462E" w:rsidP="00D97A7C">
      <w:pPr>
        <w:tabs>
          <w:tab w:val="right" w:pos="8931"/>
        </w:tabs>
        <w:ind w:firstLine="284"/>
      </w:pPr>
      <w:r>
        <w:t>Potraživanja za isplaćene predujmove za gradnju brodova</w:t>
      </w:r>
      <w:r w:rsidR="006757D9">
        <w:tab/>
      </w:r>
      <w:r>
        <w:t>989.125,00</w:t>
      </w:r>
    </w:p>
    <w:p w:rsidR="000B5F65" w:rsidRDefault="0016462E" w:rsidP="00D97A7C">
      <w:pPr>
        <w:tabs>
          <w:tab w:val="right" w:pos="8931"/>
        </w:tabs>
        <w:ind w:firstLine="284"/>
      </w:pPr>
      <w:r>
        <w:t>Potraživanje za isplaćen predujam za PSO – HŽPP</w:t>
      </w:r>
      <w:r w:rsidR="006757D9">
        <w:tab/>
      </w:r>
      <w:r>
        <w:t>14.439.101,51</w:t>
      </w:r>
    </w:p>
    <w:p w:rsidR="000B5F65" w:rsidRDefault="0016462E" w:rsidP="00D97A7C">
      <w:pPr>
        <w:tabs>
          <w:tab w:val="right" w:pos="8931"/>
        </w:tabs>
        <w:ind w:firstLine="284"/>
      </w:pPr>
      <w:r>
        <w:t>Potraživanje za isplaćen predujam za PSO- CA</w:t>
      </w:r>
      <w:r w:rsidR="006757D9">
        <w:tab/>
      </w:r>
      <w:r>
        <w:t>728.951,00</w:t>
      </w:r>
    </w:p>
    <w:p w:rsidR="000B5F65" w:rsidRDefault="0016462E" w:rsidP="00D97A7C">
      <w:pPr>
        <w:tabs>
          <w:tab w:val="right" w:pos="8931"/>
        </w:tabs>
        <w:ind w:firstLine="284"/>
      </w:pPr>
      <w:r>
        <w:t>Potraživanje za isplaćene predujmove za EU projekte izvan proračuna</w:t>
      </w:r>
      <w:r w:rsidR="006757D9">
        <w:tab/>
      </w:r>
      <w:r>
        <w:t>86.570.913,40</w:t>
      </w:r>
    </w:p>
    <w:p w:rsidR="000B5F65" w:rsidRDefault="0016462E" w:rsidP="00D97A7C">
      <w:pPr>
        <w:tabs>
          <w:tab w:val="right" w:pos="8931"/>
        </w:tabs>
        <w:ind w:firstLine="284"/>
      </w:pPr>
      <w:r>
        <w:t>Potraživanje za isplaćene predujmove za EU projekte unutar proračuna</w:t>
      </w:r>
      <w:r w:rsidR="006757D9">
        <w:tab/>
      </w:r>
      <w:r>
        <w:t>23.872.237,77</w:t>
      </w:r>
    </w:p>
    <w:p w:rsidR="000B5F65" w:rsidRDefault="0016462E" w:rsidP="00D97A7C">
      <w:pPr>
        <w:tabs>
          <w:tab w:val="right" w:pos="8931"/>
        </w:tabs>
        <w:ind w:firstLine="284"/>
      </w:pPr>
      <w:r>
        <w:t>Potraživanja od osiguravajuće kuće po šteti</w:t>
      </w:r>
      <w:r w:rsidR="006757D9">
        <w:tab/>
      </w:r>
      <w:r>
        <w:t>4.988,25</w:t>
      </w:r>
    </w:p>
    <w:p w:rsidR="000B5F65" w:rsidRDefault="0016462E" w:rsidP="00D97A7C">
      <w:pPr>
        <w:tabs>
          <w:tab w:val="right" w:pos="8931"/>
        </w:tabs>
        <w:ind w:firstLine="284"/>
      </w:pPr>
      <w:r>
        <w:t>Potraživanja za isplaćene stipendije</w:t>
      </w:r>
      <w:r w:rsidR="006757D9">
        <w:tab/>
      </w:r>
      <w:r>
        <w:t>28.832,44</w:t>
      </w:r>
    </w:p>
    <w:p w:rsidR="000B5F65" w:rsidRDefault="0016462E" w:rsidP="00D97A7C">
      <w:pPr>
        <w:tabs>
          <w:tab w:val="right" w:pos="8931"/>
        </w:tabs>
        <w:ind w:firstLine="284"/>
      </w:pPr>
      <w:r>
        <w:t>Potraživanje za povrat neprihvatljivih troškova po projektu FSEU</w:t>
      </w:r>
      <w:r w:rsidR="006757D9">
        <w:tab/>
      </w:r>
      <w:r>
        <w:t>22.200,00</w:t>
      </w:r>
    </w:p>
    <w:p w:rsidR="000B5F65" w:rsidRDefault="0016462E" w:rsidP="00D97A7C">
      <w:pPr>
        <w:tabs>
          <w:tab w:val="right" w:pos="8931"/>
        </w:tabs>
        <w:ind w:firstLine="284"/>
      </w:pPr>
      <w:r>
        <w:t>Potraživanje za povrat neutrošenih sredstava</w:t>
      </w:r>
      <w:r w:rsidR="006757D9">
        <w:tab/>
      </w:r>
      <w:r>
        <w:t>27.500,00</w:t>
      </w:r>
    </w:p>
    <w:p w:rsidR="000B5F65" w:rsidRDefault="0016462E" w:rsidP="00D97A7C">
      <w:pPr>
        <w:tabs>
          <w:tab w:val="right" w:pos="8931"/>
        </w:tabs>
        <w:ind w:firstLine="284"/>
      </w:pPr>
      <w:r>
        <w:t>Potraživanje za povrat po nagodbi</w:t>
      </w:r>
      <w:r w:rsidR="006757D9">
        <w:tab/>
      </w:r>
      <w:r>
        <w:t>93.091,05</w:t>
      </w:r>
    </w:p>
    <w:p w:rsidR="000B5F65" w:rsidRDefault="0016462E" w:rsidP="00D97A7C">
      <w:pPr>
        <w:tabs>
          <w:tab w:val="right" w:pos="8931"/>
        </w:tabs>
        <w:ind w:firstLine="284"/>
      </w:pPr>
      <w:r>
        <w:t>Utužena potraživanja od dobavljača</w:t>
      </w:r>
      <w:r w:rsidR="006757D9">
        <w:tab/>
      </w:r>
      <w:r>
        <w:t>99.160,34</w:t>
      </w:r>
    </w:p>
    <w:p w:rsidR="000B5F65" w:rsidRDefault="0016462E" w:rsidP="00D97A7C">
      <w:pPr>
        <w:tabs>
          <w:tab w:val="right" w:pos="8931"/>
        </w:tabs>
        <w:ind w:firstLine="284"/>
      </w:pPr>
      <w:r>
        <w:t>Potraživanja po koncesijskom ugovoru Bina-Istra</w:t>
      </w:r>
      <w:r w:rsidR="006757D9">
        <w:tab/>
      </w:r>
      <w:r>
        <w:t>1.891.274,94</w:t>
      </w:r>
    </w:p>
    <w:p w:rsidR="000B5F65" w:rsidRDefault="006757D9" w:rsidP="00D97A7C">
      <w:pPr>
        <w:tabs>
          <w:tab w:val="right" w:pos="8931"/>
        </w:tabs>
        <w:ind w:firstLine="284"/>
        <w:rPr>
          <w:b/>
        </w:rPr>
      </w:pPr>
      <w:r w:rsidRPr="00D97A7C">
        <w:rPr>
          <w:b/>
        </w:rPr>
        <w:t>UKUPNO</w:t>
      </w:r>
      <w:r w:rsidR="0016462E" w:rsidRPr="00D97A7C">
        <w:rPr>
          <w:b/>
        </w:rPr>
        <w:t>:</w:t>
      </w:r>
      <w:r w:rsidRPr="00D97A7C">
        <w:rPr>
          <w:b/>
        </w:rPr>
        <w:tab/>
      </w:r>
      <w:r w:rsidR="0016462E" w:rsidRPr="00D97A7C">
        <w:rPr>
          <w:b/>
        </w:rPr>
        <w:t>128.811.862,79</w:t>
      </w:r>
    </w:p>
    <w:p w:rsidR="00D97A7C" w:rsidRPr="00D97A7C" w:rsidRDefault="00D97A7C" w:rsidP="006757D9">
      <w:pPr>
        <w:tabs>
          <w:tab w:val="right" w:pos="8931"/>
        </w:tabs>
        <w:rPr>
          <w:b/>
        </w:rPr>
      </w:pPr>
    </w:p>
    <w:p w:rsidR="000B5F65" w:rsidRDefault="0016462E">
      <w:r>
        <w:t>Ostala potraživanja od zaposlenih odnose se na potraživanje temeljem sporazuma za naknadu štete od jednog službenika i rješenja Službeničkog suda, te za povrat plaćenih troškova školarine.</w:t>
      </w:r>
    </w:p>
    <w:p w:rsidR="000B5F65" w:rsidRDefault="0016462E">
      <w:r>
        <w:lastRenderedPageBreak/>
        <w:t xml:space="preserve">Radi obnove SAR flote lučkih kapetanija 2023. godine isplaćen je predujam za gradnju 9 gumenih brodica, predujam za gradnju 15 </w:t>
      </w:r>
      <w:proofErr w:type="spellStart"/>
      <w:r>
        <w:t>stakloplastičnih</w:t>
      </w:r>
      <w:proofErr w:type="spellEnd"/>
      <w:r>
        <w:t xml:space="preserve"> brodica i 7 aluminijskih brodica. Još nisu isporučene sve ugovorene brodice.</w:t>
      </w:r>
    </w:p>
    <w:p w:rsidR="000B5F65" w:rsidRDefault="0016462E">
      <w:r>
        <w:t xml:space="preserve">Od Općine </w:t>
      </w:r>
      <w:proofErr w:type="spellStart"/>
      <w:r>
        <w:t>Dubravica</w:t>
      </w:r>
      <w:proofErr w:type="spellEnd"/>
      <w:r>
        <w:t xml:space="preserve"> zatražen je povrat sredstava zbog neprihvatljivih troškova na projektu financiranom iz Fonda solidarnosti EU. Općina se žalila na Odluku o povratu sredstava.</w:t>
      </w:r>
    </w:p>
    <w:p w:rsidR="000B5F65" w:rsidRDefault="0016462E">
      <w:r>
        <w:t>Od Općine Gradac zatražen je povrat neutrošenih sredstava. </w:t>
      </w:r>
    </w:p>
    <w:p w:rsidR="000B5F65" w:rsidRDefault="0016462E">
      <w:r>
        <w:t>Ostala utužena potraživanja odnose se na potraživanja za nenamjenski utrošena sredstva za gradnju brodova (99.160,35 EUR) za koje su pokrenuti sudski postupci.</w:t>
      </w:r>
    </w:p>
    <w:p w:rsidR="000B5F65" w:rsidRDefault="0016462E">
      <w:r>
        <w:t>Nekoliko učenika i studenata koji su dužni vratiti isplaćene stipendije dobili su rješenje da stipendije vraćaju obročno, dio učenika i studenata podnijelo je zahtjev Ministarstvu financija za otpis duga temeljem socijalnih kriterija, a ostali su primili opomene te se pokreću sudski postupci.</w:t>
      </w:r>
    </w:p>
    <w:p w:rsidR="000B5F65" w:rsidRDefault="0016462E">
      <w:r>
        <w:t>Najznačajnije potraživanje za isplaćene predujmove za EU projekte subjektima izvan općeg proračuna odnosi se na isplaćeni predujam za projekt Istraživanje, razvoj i proizvodnja vozila nove mobilnosti i prateće infrastrukture. Najznačajnija potraživanja za isplaćene predujmove za EU projekte subjektima unutar općeg DP odnosi se na isplaćene predujmove za nabavu niskopodnih tramvaja u Osijeku, uklanjanje uskih grla na željezničkoj infrastrukturi i modernizaciju željezničko-cestovnih prijelaza te za projekte lučkih uprava izgradnje lučke infrastrukture.</w:t>
      </w:r>
    </w:p>
    <w:p w:rsidR="000B5F65" w:rsidRDefault="0016462E">
      <w:r>
        <w:t>Temeljem koncesijskog ugovora, Bina-Istra je za realizaciju faze „2B2 Istarskog ipsilona“ iz viška za 2017. i 2018. godinu zadržala 5.000.000,00. Višak po konačnom obračunu za 2019. godinu od 8.220.122,73 EUR je zadržan na namjenskom računu Bina-Istre za financiranje obveza za fazu „2B2-1“, a višak po konačnom obračunu za 2020. od 4.700.000,00 EUR je zadržan za razvoj pod-faza „2B2-2“ i „2B2-3“. Višak za 2023. od 8.639.524,14 EUR Bina Istra koristi za pokriće troškova projekta. Tijekom 2025. godine Bina-Istra je iz zadržanog viška iz prethodnih godina financirala izgradnju faze „2B2-2“,  „2B2-3“ i troškove projekta u iznosu od 16.483.536,55 EUR.</w:t>
      </w:r>
    </w:p>
    <w:p w:rsidR="000B5F65" w:rsidRDefault="0016462E">
      <w:r>
        <w:t>Temeljem  Ugovoru 1/2019/DP-HŽPP o javnim uslugama od općeg gospodarskog interesa u javnom željezničkom prijevozu Ministarstvo kvartalno isplaćuje predujam HŽ Putničkom prijevozu, a HŽ PP isplaćeni predujam pravda troškovima PSO usluge. Potraživanje od HŽ Putničkog prijevoza za isplaćeni predujam u iznosu od 14.439.101,51EUR biti će zatvoren po konačnom obračunu.</w:t>
      </w:r>
    </w:p>
    <w:p w:rsidR="000B5F65" w:rsidRDefault="0016462E">
      <w:r>
        <w:t>Ugovor za obavljanje domaćeg linijskog zračnog prijevoza za razdoblje od 4. srpnja 2022. do 28. ožujka 2026. godine završava 28.03.2026. Croatia Airlinesu je isplaćen preostali iznos po tom ugovoru, a obračun troškova i zatvaranje predujma će se izvršiti po okončanju ugovora.</w:t>
      </w:r>
    </w:p>
    <w:p w:rsidR="000B5F65" w:rsidRDefault="000B5F65"/>
    <w:p w:rsidR="000B5F65" w:rsidRDefault="0016462E">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13</w:t>
            </w:r>
          </w:p>
        </w:tc>
        <w:tc>
          <w:tcPr>
            <w:tcW w:w="3180" w:type="dxa"/>
            <w:tcMar>
              <w:top w:w="0" w:type="dxa"/>
              <w:bottom w:w="0" w:type="dxa"/>
            </w:tcMar>
            <w:vAlign w:val="center"/>
          </w:tcPr>
          <w:p w:rsidR="000B5F65" w:rsidRDefault="0016462E">
            <w:pPr>
              <w:keepNext/>
              <w:keepLines/>
              <w:spacing w:after="0" w:line="240" w:lineRule="auto"/>
            </w:pPr>
            <w:r>
              <w:rPr>
                <w:sz w:val="18"/>
              </w:rPr>
              <w:t>Potraživanja za dane zajmove (šifre 13X1+13X2-139)</w:t>
            </w:r>
          </w:p>
        </w:tc>
        <w:tc>
          <w:tcPr>
            <w:tcW w:w="700" w:type="dxa"/>
            <w:tcMar>
              <w:top w:w="0" w:type="dxa"/>
              <w:bottom w:w="0" w:type="dxa"/>
            </w:tcMar>
            <w:vAlign w:val="center"/>
          </w:tcPr>
          <w:p w:rsidR="000B5F65" w:rsidRDefault="0016462E">
            <w:pPr>
              <w:keepNext/>
              <w:keepLines/>
              <w:spacing w:after="0" w:line="240" w:lineRule="auto"/>
            </w:pPr>
            <w:r>
              <w:rPr>
                <w:sz w:val="18"/>
              </w:rPr>
              <w:t>13</w:t>
            </w:r>
          </w:p>
        </w:tc>
        <w:tc>
          <w:tcPr>
            <w:tcW w:w="1860" w:type="dxa"/>
            <w:tcMar>
              <w:top w:w="0" w:type="dxa"/>
              <w:bottom w:w="0" w:type="dxa"/>
            </w:tcMar>
            <w:vAlign w:val="center"/>
          </w:tcPr>
          <w:p w:rsidR="000B5F65" w:rsidRDefault="0016462E">
            <w:pPr>
              <w:keepNext/>
              <w:keepLines/>
              <w:spacing w:after="0" w:line="240" w:lineRule="auto"/>
              <w:jc w:val="right"/>
            </w:pPr>
            <w:r>
              <w:rPr>
                <w:sz w:val="18"/>
              </w:rPr>
              <w:t>147.621.866,19</w:t>
            </w:r>
          </w:p>
        </w:tc>
        <w:tc>
          <w:tcPr>
            <w:tcW w:w="1860" w:type="dxa"/>
            <w:tcMar>
              <w:top w:w="0" w:type="dxa"/>
              <w:bottom w:w="0" w:type="dxa"/>
            </w:tcMar>
            <w:vAlign w:val="center"/>
          </w:tcPr>
          <w:p w:rsidR="000B5F65" w:rsidRDefault="0016462E">
            <w:pPr>
              <w:keepNext/>
              <w:keepLines/>
              <w:spacing w:after="0" w:line="240" w:lineRule="auto"/>
              <w:jc w:val="right"/>
            </w:pPr>
            <w:r>
              <w:rPr>
                <w:sz w:val="18"/>
              </w:rPr>
              <w:t>96.586.087,99</w:t>
            </w:r>
          </w:p>
        </w:tc>
        <w:tc>
          <w:tcPr>
            <w:tcW w:w="700" w:type="dxa"/>
            <w:tcMar>
              <w:top w:w="0" w:type="dxa"/>
              <w:bottom w:w="0" w:type="dxa"/>
            </w:tcMar>
            <w:vAlign w:val="center"/>
          </w:tcPr>
          <w:p w:rsidR="000B5F65" w:rsidRDefault="0016462E">
            <w:pPr>
              <w:keepNext/>
              <w:keepLines/>
              <w:spacing w:after="0" w:line="240" w:lineRule="auto"/>
              <w:jc w:val="right"/>
            </w:pPr>
            <w:r>
              <w:rPr>
                <w:sz w:val="18"/>
              </w:rPr>
              <w:t>65,4</w:t>
            </w:r>
          </w:p>
        </w:tc>
      </w:tr>
    </w:tbl>
    <w:p w:rsidR="000B5F65" w:rsidRDefault="000B5F65">
      <w:pPr>
        <w:spacing w:after="0"/>
      </w:pPr>
    </w:p>
    <w:p w:rsidR="000B5F65" w:rsidRDefault="0016462E">
      <w:r>
        <w:t>Potraživanje za dane zajmove na dan 31.12.2025.:</w:t>
      </w:r>
    </w:p>
    <w:p w:rsidR="000B5F65" w:rsidRDefault="0016462E" w:rsidP="00D97A7C">
      <w:pPr>
        <w:tabs>
          <w:tab w:val="right" w:pos="8931"/>
        </w:tabs>
        <w:ind w:firstLine="284"/>
      </w:pPr>
      <w:r>
        <w:t>Autocesta Zagreb-Macelj (</w:t>
      </w:r>
      <w:proofErr w:type="spellStart"/>
      <w:r>
        <w:t>Shareholder</w:t>
      </w:r>
      <w:proofErr w:type="spellEnd"/>
      <w:r>
        <w:t xml:space="preserve"> </w:t>
      </w:r>
      <w:proofErr w:type="spellStart"/>
      <w:r>
        <w:t>loan</w:t>
      </w:r>
      <w:proofErr w:type="spellEnd"/>
      <w:r>
        <w:t>)</w:t>
      </w:r>
      <w:r w:rsidR="006757D9">
        <w:tab/>
      </w:r>
      <w:r>
        <w:t>9.246.300,00</w:t>
      </w:r>
    </w:p>
    <w:p w:rsidR="000B5F65" w:rsidRDefault="0016462E" w:rsidP="00D97A7C">
      <w:pPr>
        <w:tabs>
          <w:tab w:val="right" w:pos="8931"/>
        </w:tabs>
        <w:ind w:firstLine="284"/>
      </w:pPr>
      <w:r>
        <w:t>Autocesta Zagreb-Macelj-TSCA</w:t>
      </w:r>
      <w:r w:rsidR="006757D9">
        <w:tab/>
      </w:r>
      <w:r>
        <w:t>44.938.218,00</w:t>
      </w:r>
    </w:p>
    <w:p w:rsidR="000B5F65" w:rsidRDefault="0016462E" w:rsidP="00D97A7C">
      <w:pPr>
        <w:tabs>
          <w:tab w:val="right" w:pos="8931"/>
        </w:tabs>
        <w:ind w:firstLine="284"/>
      </w:pPr>
      <w:r>
        <w:t>Croatia Airlines</w:t>
      </w:r>
      <w:r w:rsidR="006757D9">
        <w:tab/>
      </w:r>
      <w:r>
        <w:t>42.401.569,99</w:t>
      </w:r>
    </w:p>
    <w:p w:rsidR="000B5F65" w:rsidRPr="00D97A7C" w:rsidRDefault="0016462E" w:rsidP="00D97A7C">
      <w:pPr>
        <w:tabs>
          <w:tab w:val="right" w:pos="8931"/>
        </w:tabs>
        <w:ind w:firstLine="284"/>
        <w:rPr>
          <w:b/>
        </w:rPr>
      </w:pPr>
      <w:r w:rsidRPr="00D97A7C">
        <w:rPr>
          <w:b/>
        </w:rPr>
        <w:t>UKUPNO:</w:t>
      </w:r>
      <w:r w:rsidR="006757D9" w:rsidRPr="00D97A7C">
        <w:rPr>
          <w:b/>
        </w:rPr>
        <w:tab/>
      </w:r>
      <w:r w:rsidRPr="00D97A7C">
        <w:rPr>
          <w:b/>
        </w:rPr>
        <w:t> 96.586.087,99</w:t>
      </w:r>
    </w:p>
    <w:p w:rsidR="000B5F65" w:rsidRDefault="0016462E">
      <w:r>
        <w:t> </w:t>
      </w:r>
    </w:p>
    <w:p w:rsidR="000B5F65" w:rsidRDefault="0016462E">
      <w:r>
        <w:t>U 2025. godini nije bilo isplata za doprinos za pad prometa Autocesti Zagreb-Macelj je po koncesijskom ugovoru.</w:t>
      </w:r>
    </w:p>
    <w:p w:rsidR="000B5F65" w:rsidRDefault="0016462E">
      <w:r>
        <w:t>Ministarstvo je 30.1.2020. Croatia Airlines d.d., temeljem Odluke Vlade RH o stvaranju prethodno potrebnih uvjeta osiguranja postupka dokapitalizacije društva Croatia Airlines d.d., od 19. 9. 2019., isplatilo 19.908.421,26 EUR predujma za osiguranje nužne stabilizacije poslovanja prije provedbe procesa povećanja kapitala društva. Odlukom Vlade RH o dopuni Odluke o stvaranju prethodno potrebnih uvjeta osiguranja postupka dokapitalizacije društva Croatia Airlines d.d., od 30.1.2020., definirano je da će se sredstva isplaćenog predujma tretirati kao zajam dioničara te da će Ministarstvo u svojim knjigovodstvenim evidencijama iskazati potraživanje po danom zajmu u ukupnom iznosu od 33.180.702,10 EUR (13.272.280,84 EUR je u 2019. godini isplatilo Ministarstvo financija). Društvo Croatia Airlines je zatražilo i dobilo produženje roka za povrat danog zajma.</w:t>
      </w:r>
    </w:p>
    <w:p w:rsidR="000B5F65" w:rsidRDefault="0016462E">
      <w:r>
        <w:t xml:space="preserve">Temeljem ugovora o zajmu od 30. lipnja 2022. godine Ministarstvo je Croatia Airlines d.d. 21. 11. 2022. godine isplatilo 12.475.943,99 EUR zajma za osiguranje nužne financijske stabilnosti i likvidnosti društva uslijed krize uzrokovane </w:t>
      </w:r>
      <w:proofErr w:type="spellStart"/>
      <w:r>
        <w:t>pandemijom</w:t>
      </w:r>
      <w:proofErr w:type="spellEnd"/>
      <w:r>
        <w:t xml:space="preserve"> COVID-19. Zajam je dodijeljen u skladu s privremenim okvirom Europske komisije za državne potpore radi podrške gospodarstvu u aktualnoj </w:t>
      </w:r>
      <w:proofErr w:type="spellStart"/>
      <w:r>
        <w:t>pandemiji</w:t>
      </w:r>
      <w:proofErr w:type="spellEnd"/>
      <w:r>
        <w:t xml:space="preserve"> COVID-19.</w:t>
      </w:r>
    </w:p>
    <w:p w:rsidR="000B5F65" w:rsidRDefault="0016462E">
      <w:r>
        <w:t xml:space="preserve">Ministarstvo financija je 23.12.2020. godine Croatia Airlines d.d. isplatilo zajam za osiguranje nužne financijske stabilizacije i likvidnosti društva uslijed krize uzrokovane </w:t>
      </w:r>
      <w:proofErr w:type="spellStart"/>
      <w:r>
        <w:t>pandemijom</w:t>
      </w:r>
      <w:proofErr w:type="spellEnd"/>
      <w:r>
        <w:t xml:space="preserve"> COVID-19 u iznosu od 33.180.702,10 EUR. Zajam je kao potraživanje bio iskazan u knjigovodstvenoj evidenciji Ministarstva financija. Ministarstvo financija je s danom 31.10.2024. iz svoje knjigovodstvene evidencije </w:t>
      </w:r>
      <w:proofErr w:type="spellStart"/>
      <w:r>
        <w:t>isknjižilo</w:t>
      </w:r>
      <w:proofErr w:type="spellEnd"/>
      <w:r>
        <w:t xml:space="preserve"> potraživanje za isplaćeni zajam  Croatia Airlines d.d. i obvezalo Ministarstvo mora, prometa i infrastrukture da navedeno potraživanje evidentira u svojoj knjigovodstvenoj evidenciji.</w:t>
      </w:r>
    </w:p>
    <w:p w:rsidR="000B5F65" w:rsidRDefault="0016462E">
      <w:r>
        <w:t xml:space="preserve">Temeljem Odluke Vlade RH o odobrenju povećanja temeljnog kapitala društva Croatia Airlines od 12.12.2025. izvršena je dokapitalizacija u iznosu od 43 </w:t>
      </w:r>
      <w:proofErr w:type="spellStart"/>
      <w:r>
        <w:t>mil</w:t>
      </w:r>
      <w:proofErr w:type="spellEnd"/>
      <w:r>
        <w:t xml:space="preserve"> EUR pretvaranjem potraživanja po danim zajmovima i kamatama u kapital. Zajmovi su zatvoreni u iznosu od 36.435.778,20 EUR, a kamate u iznosu od 6.564.221,80 EUR. Ovime se osigurava provedba </w:t>
      </w:r>
      <w:r>
        <w:lastRenderedPageBreak/>
        <w:t>postupka zamjene flote Croatia Airlines, osigurava stabilnost i oporavak kapitala te poslovanje u predviđenim uvjetima jedinstvene flote zrakoplova.</w:t>
      </w:r>
    </w:p>
    <w:p w:rsidR="000B5F65" w:rsidRDefault="0016462E">
      <w:r>
        <w:t>Temeljem Odluke Vlade RH o odobrenju državne potpore za sanaciju društva  Pružne građevine d.o.o. od 9. studenog 2023. godine, društvu je dan kratkoročni zajam za osiguranje likvidnosti zbog teškoća u poslovanju u iznosu od 14.600.000,00 EUR. Rok za vraćanje zajma je bio 23.05.2024. Društvo je izvršilo povrat zajma u 2025. godini. </w:t>
      </w:r>
    </w:p>
    <w:p w:rsidR="000B5F65" w:rsidRDefault="000B5F65"/>
    <w:p w:rsidR="000B5F65" w:rsidRDefault="0016462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15</w:t>
            </w:r>
          </w:p>
        </w:tc>
        <w:tc>
          <w:tcPr>
            <w:tcW w:w="3180" w:type="dxa"/>
            <w:tcMar>
              <w:top w:w="0" w:type="dxa"/>
              <w:bottom w:w="0" w:type="dxa"/>
            </w:tcMar>
            <w:vAlign w:val="center"/>
          </w:tcPr>
          <w:p w:rsidR="000B5F65" w:rsidRDefault="0016462E">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rsidR="000B5F65" w:rsidRDefault="0016462E">
            <w:pPr>
              <w:keepNext/>
              <w:keepLines/>
              <w:spacing w:after="0" w:line="240" w:lineRule="auto"/>
            </w:pPr>
            <w:r>
              <w:rPr>
                <w:sz w:val="18"/>
              </w:rPr>
              <w:t>15</w:t>
            </w:r>
          </w:p>
        </w:tc>
        <w:tc>
          <w:tcPr>
            <w:tcW w:w="1860" w:type="dxa"/>
            <w:tcMar>
              <w:top w:w="0" w:type="dxa"/>
              <w:bottom w:w="0" w:type="dxa"/>
            </w:tcMar>
            <w:vAlign w:val="center"/>
          </w:tcPr>
          <w:p w:rsidR="000B5F65" w:rsidRDefault="0016462E">
            <w:pPr>
              <w:keepNext/>
              <w:keepLines/>
              <w:spacing w:after="0" w:line="240" w:lineRule="auto"/>
              <w:jc w:val="right"/>
            </w:pPr>
            <w:r>
              <w:rPr>
                <w:sz w:val="18"/>
              </w:rPr>
              <w:t>39.285.951,29</w:t>
            </w:r>
          </w:p>
        </w:tc>
        <w:tc>
          <w:tcPr>
            <w:tcW w:w="1860" w:type="dxa"/>
            <w:tcMar>
              <w:top w:w="0" w:type="dxa"/>
              <w:bottom w:w="0" w:type="dxa"/>
            </w:tcMar>
            <w:vAlign w:val="center"/>
          </w:tcPr>
          <w:p w:rsidR="000B5F65" w:rsidRDefault="0016462E">
            <w:pPr>
              <w:keepNext/>
              <w:keepLines/>
              <w:spacing w:after="0" w:line="240" w:lineRule="auto"/>
              <w:jc w:val="right"/>
            </w:pPr>
            <w:r>
              <w:rPr>
                <w:sz w:val="18"/>
              </w:rPr>
              <w:t>39.287.601,29</w:t>
            </w:r>
          </w:p>
        </w:tc>
        <w:tc>
          <w:tcPr>
            <w:tcW w:w="700" w:type="dxa"/>
            <w:tcMar>
              <w:top w:w="0" w:type="dxa"/>
              <w:bottom w:w="0" w:type="dxa"/>
            </w:tcMar>
            <w:vAlign w:val="center"/>
          </w:tcPr>
          <w:p w:rsidR="000B5F65" w:rsidRDefault="0016462E">
            <w:pPr>
              <w:keepNext/>
              <w:keepLines/>
              <w:spacing w:after="0" w:line="240" w:lineRule="auto"/>
              <w:jc w:val="right"/>
            </w:pPr>
            <w:r>
              <w:rPr>
                <w:sz w:val="18"/>
              </w:rPr>
              <w:t>100,0</w:t>
            </w:r>
          </w:p>
        </w:tc>
      </w:tr>
    </w:tbl>
    <w:p w:rsidR="000B5F65" w:rsidRDefault="000B5F65">
      <w:pPr>
        <w:spacing w:after="0"/>
      </w:pPr>
    </w:p>
    <w:p w:rsidR="000B5F65" w:rsidRDefault="0016462E">
      <w:r>
        <w:t>Temeljem Odluke Vlade RH o odobrenju povećanja temeljnog kapitala društvu Croatia Airlines d.d. od 22. prosinca 2022. godine, Ministarstvo i Croatia Airlines d.d. sklopili su Ugovor o ulaganju u dioničko društvo Croatia Airlines na način da Republika Hrvatska izvrši dodatno ulaganje u temeljni kapital Croatia Airlines ulogom u novcu u iznosu od 39.285.951.29 EUR.</w:t>
      </w:r>
    </w:p>
    <w:p w:rsidR="000B5F65" w:rsidRDefault="0016462E">
      <w:r>
        <w:t>U 2025. godini uplaćen je osnivački ulog za zračnu luku Srce Dalmacije d.o.o. u iznosu od 1.650,00 EUR.</w:t>
      </w:r>
    </w:p>
    <w:p w:rsidR="000B5F65" w:rsidRDefault="000B5F65"/>
    <w:p w:rsidR="000B5F65" w:rsidRDefault="0016462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16</w:t>
            </w:r>
          </w:p>
        </w:tc>
        <w:tc>
          <w:tcPr>
            <w:tcW w:w="3180" w:type="dxa"/>
            <w:tcMar>
              <w:top w:w="0" w:type="dxa"/>
              <w:bottom w:w="0" w:type="dxa"/>
            </w:tcMar>
            <w:vAlign w:val="center"/>
          </w:tcPr>
          <w:p w:rsidR="000B5F65" w:rsidRDefault="0016462E">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0B5F65" w:rsidRDefault="0016462E">
            <w:pPr>
              <w:keepNext/>
              <w:keepLines/>
              <w:spacing w:after="0" w:line="240" w:lineRule="auto"/>
            </w:pPr>
            <w:r>
              <w:rPr>
                <w:sz w:val="18"/>
              </w:rPr>
              <w:t>16</w:t>
            </w:r>
          </w:p>
        </w:tc>
        <w:tc>
          <w:tcPr>
            <w:tcW w:w="1860" w:type="dxa"/>
            <w:tcMar>
              <w:top w:w="0" w:type="dxa"/>
              <w:bottom w:w="0" w:type="dxa"/>
            </w:tcMar>
            <w:vAlign w:val="center"/>
          </w:tcPr>
          <w:p w:rsidR="000B5F65" w:rsidRDefault="0016462E">
            <w:pPr>
              <w:keepNext/>
              <w:keepLines/>
              <w:spacing w:after="0" w:line="240" w:lineRule="auto"/>
              <w:jc w:val="right"/>
            </w:pPr>
            <w:r>
              <w:rPr>
                <w:sz w:val="18"/>
              </w:rPr>
              <w:t>60.502.773,54</w:t>
            </w:r>
          </w:p>
        </w:tc>
        <w:tc>
          <w:tcPr>
            <w:tcW w:w="1860" w:type="dxa"/>
            <w:tcMar>
              <w:top w:w="0" w:type="dxa"/>
              <w:bottom w:w="0" w:type="dxa"/>
            </w:tcMar>
            <w:vAlign w:val="center"/>
          </w:tcPr>
          <w:p w:rsidR="000B5F65" w:rsidRDefault="0016462E">
            <w:pPr>
              <w:keepNext/>
              <w:keepLines/>
              <w:spacing w:after="0" w:line="240" w:lineRule="auto"/>
              <w:jc w:val="right"/>
            </w:pPr>
            <w:r>
              <w:rPr>
                <w:sz w:val="18"/>
              </w:rPr>
              <w:t>124.690.576,52</w:t>
            </w:r>
          </w:p>
        </w:tc>
        <w:tc>
          <w:tcPr>
            <w:tcW w:w="700" w:type="dxa"/>
            <w:tcMar>
              <w:top w:w="0" w:type="dxa"/>
              <w:bottom w:w="0" w:type="dxa"/>
            </w:tcMar>
            <w:vAlign w:val="center"/>
          </w:tcPr>
          <w:p w:rsidR="000B5F65" w:rsidRDefault="0016462E">
            <w:pPr>
              <w:keepNext/>
              <w:keepLines/>
              <w:spacing w:after="0" w:line="240" w:lineRule="auto"/>
              <w:jc w:val="right"/>
            </w:pPr>
            <w:r>
              <w:rPr>
                <w:sz w:val="18"/>
              </w:rPr>
              <w:t>206,1</w:t>
            </w:r>
          </w:p>
        </w:tc>
      </w:tr>
    </w:tbl>
    <w:p w:rsidR="000B5F65" w:rsidRDefault="000B5F65">
      <w:pPr>
        <w:spacing w:after="0"/>
      </w:pPr>
    </w:p>
    <w:p w:rsidR="000B5F65" w:rsidRDefault="0016462E">
      <w:r>
        <w:t xml:space="preserve">Potraživanja za pomoći iz inozemstva (530.073,96 EUR) odnose se na potraživanja za rashode financirane iz izvora 559 (Ostale refundacije iz pomoći EU) za projekte K810067 CEF 2014.-2020. Priprema Fairway2 radova na koridoru Rajna-Dunav, T819077 CEF PSA </w:t>
      </w:r>
      <w:proofErr w:type="spellStart"/>
      <w:r>
        <w:t>Napcore</w:t>
      </w:r>
      <w:proofErr w:type="spellEnd"/>
      <w:r>
        <w:t xml:space="preserve"> programska podrška za provedbu mehanizma koordinacije za objedinjavanje nacionalnih pristupnih točaka, K819082 CEF 2014.-2020. RIS COMEX2 primjena RIS-a u upravljanju prometnim koridorima i za podnesene ZNS-ove u 2025. za 2 projekta (T820083Mehanizam zaštite osjetljivih područja Jadrana ASAP i T587084 INTERREG projekt ACTIVE2PUBLIC Transport- podrška boljem kombiniranju biciklizma, pješačenja i javnog prijevoza u dunavskoj regiji).</w:t>
      </w:r>
    </w:p>
    <w:p w:rsidR="000B5F65" w:rsidRDefault="0016462E">
      <w:r>
        <w:t>Obračunate su zatezne kamate trgovačkim društvima po protestiranim jamstvima (271.013,36 EUR).</w:t>
      </w:r>
    </w:p>
    <w:p w:rsidR="000B5F65" w:rsidRDefault="0016462E">
      <w:r>
        <w:t xml:space="preserve">Temeljem ugovora o koncesijskoj naknadi na pomorskom dobru, evidentirana su potraživanja od koncesionara. Ministarstvo je na 31. 12. 2025. godine imalo evidentirana potraživanja od koncesijskih naknada u pomorskom prometu u iznosu od 4.414.296,20 EUR. Najznačajnija </w:t>
      </w:r>
      <w:r>
        <w:lastRenderedPageBreak/>
        <w:t xml:space="preserve">potraživanja po ugovorima o koncesiji na pomorskom dobru odnose se Brodograđevnu industriju Split d.d., Uljanik brodogradnja 1856 d.o.o. Po koncesijskom ugovoru sklopljenim s Autocestom Zagreb-Macelj, evidentirana su potraživanja za kamate za </w:t>
      </w:r>
      <w:proofErr w:type="spellStart"/>
      <w:r>
        <w:t>Sharelolder</w:t>
      </w:r>
      <w:proofErr w:type="spellEnd"/>
      <w:r>
        <w:t xml:space="preserve"> </w:t>
      </w:r>
      <w:proofErr w:type="spellStart"/>
      <w:r>
        <w:t>loan</w:t>
      </w:r>
      <w:proofErr w:type="spellEnd"/>
      <w:r>
        <w:t xml:space="preserve"> i potraživanja za kamate za isplaćen TSCA (31.328.538,62 EUR), po ugovorima o dioničarskom zajmu sklopljenim s Croatia Airlines Ministarstvo je evidentiralo potraživanja za kamate u iznosu od 429.986,42 EUR. Sukladno Pomorskom zakoniku, 50% naknade za sigurnost plovidbe je prihod Državnog proračuna, a 50% naknade je namjenski prihod Ministarstva. Na dan 31.12.2025. godine Ministarstvo ima potraživanje temeljem izdanih obračuna naknada za sigurnost plovidbe u iznosu od 1.660.187,87 EUR. Temeljem odredbi Pomorskog zakonika, vlasnici brodica koji nisu 2 godine uzastopno uplatili naknadu za sigurnost plovidbe, brisani su iz registra upisnika brodova. Za neplaćene kazne za prometne prekršaje pokrenuti su ovršni i sudski postupci.</w:t>
      </w:r>
    </w:p>
    <w:p w:rsidR="000B5F65" w:rsidRDefault="0016462E">
      <w:r>
        <w:t>Ukupna potraživanja za uplaćene namjenske prihode su 11.920.304,22 EUR, a odnose se na: uplaćene namjenske prihode od naknade za sigurnost plovidbe i naknade za izobrazbu pomoraca, sukladno Pomorskom zakoniku (6.646.295,06 EUR), uplaćen predujam za Projekt DG ECHO Adriatic 2017 (25.640,98 EUR), uplaćen predujam za projekt CEF 2014.-2020. Izrada studije utjecaja na okoliš i projektne dokumentacije za kritičnu dionicu rijeke Save (10,00 EUR), uplaćen predujam za projekt CEF – tehnička pomoć 2022.-2024. (93.588,26 EUR), uplaćen predujam za projekt CEF – tehnička pomoć 2025.-2027. (414.602,47 EUR), uplaćeni predujam za projekt CEF  </w:t>
      </w:r>
      <w:proofErr w:type="spellStart"/>
      <w:r>
        <w:t>Napccore</w:t>
      </w:r>
      <w:proofErr w:type="spellEnd"/>
      <w:r>
        <w:t xml:space="preserve"> X (42.925,34 EUR), uplaćeni predujam za projekt RIS COMRX2-primjena RIS-a u upravljanju prometnim koridorima (187.742,18 EUR), primljeni predujam za projekt CYSCROMS </w:t>
      </w:r>
      <w:proofErr w:type="spellStart"/>
      <w:r>
        <w:t>Kibernetička</w:t>
      </w:r>
      <w:proofErr w:type="spellEnd"/>
      <w:r>
        <w:t xml:space="preserve"> sigurnost u pomorskom prometu (227.213,23 EUR), uplaćeni predujam za projekt CEF X4ITS – srednjoeuropska prekogranična suradnja za inteligentne transportne sustave (8.321,48 EUR), uplaćeni predujam za projekt CEF </w:t>
      </w:r>
      <w:proofErr w:type="spellStart"/>
      <w:r>
        <w:t>Fairway</w:t>
      </w:r>
      <w:proofErr w:type="spellEnd"/>
      <w:r>
        <w:t xml:space="preserve"> Danube 2-budući koraci unaprjeđenje plovidbe na Dunavu (1.543,86 EUR), primljeni predujam za projekt CEF – </w:t>
      </w:r>
      <w:proofErr w:type="spellStart"/>
      <w:r>
        <w:t>Crocodille</w:t>
      </w:r>
      <w:proofErr w:type="spellEnd"/>
      <w:r>
        <w:t xml:space="preserve"> (11.127,57 EUR),uplaćeni predujam za projekt CEF SAWA uređenje plovnog puta rijeke Save (3.050.490,63 EUR) prenesena sredstva iz MUP-a za opremanje inspekcije opremom i ostalim uređajima (825.854,02 EUR), uplaćenu donaciju za izgradnju izložbene prostorije na pelješkom mostu (32.153,75 EUR) te za uplaćene vlastite prihode i jamstva.</w:t>
      </w:r>
    </w:p>
    <w:p w:rsidR="000B5F65" w:rsidRDefault="0016462E">
      <w:r>
        <w:t xml:space="preserve">Protestirano je sedam jamstva dodijeljenih u sklopu Programa dodjele državnih potpora sektoru mora, prometa i prometne infrastrukture u povezanim djelatnostima u </w:t>
      </w:r>
      <w:proofErr w:type="spellStart"/>
      <w:r>
        <w:t>pandemiji</w:t>
      </w:r>
      <w:proofErr w:type="spellEnd"/>
      <w:r>
        <w:t xml:space="preserve"> COVID-19, te su evidentirana potraživanja za povrat danih pomoći trgovačkim društvima po protestiranim jamstvima.</w:t>
      </w:r>
    </w:p>
    <w:p w:rsidR="000B5F65" w:rsidRDefault="0016462E">
      <w:r>
        <w:t xml:space="preserve">Na temelju Odluke o prihvaćanju nagodbe između Republike Hrvatske i HŽ Infrastrukture d.o.o. o uređenju imovinsko-pravnih pitanja preostalih nakon podjele HŽ-Hrvatske željeznice d.o.o. od 27. prosinca 2024., dana 7. siječnja 2025. godine sklopljena nagodba između RH i društva HŽ Infrastruktura d.o.o. U skladu s odredbama članka 5.2. Nagodbe iznos od 38.414.622,31 eura predstavlja iznos koji Republika Hrvatska ima namiriti društvu HŽ Infrastruktura d.o.o. isplatom na žiro račun društva HŽ Infrastruktura d.o.o., i to u 2025. godini iznos od 25.000.000,00 eura, te u 2026. godini iznos od 13.414.622,31 eura. Odlukom o odobrenju povećanja temeljnog kapitala društva HŽ Infrastruktura d.o.o. s osnove namire iz sklopljene Nagodbe između Republike Hrvatske i društva HŽ Infrastruktura d.o.o. o uređenju imovinsko-pravnih pitanja preostalih nakon podjele HŽ-Hrvatske željeznice d.o.o. odobreno je povećanje temeljnog kapitala društva HŽ Infrastruktura d.o.o. Iznos od 25.000.000,00 eura </w:t>
      </w:r>
      <w:r>
        <w:lastRenderedPageBreak/>
        <w:t xml:space="preserve">po Nagodbi, Ministarstvo mora, prometa i infrastrukture isplatilo je na žiro račun društva HŽ Infrastruktura </w:t>
      </w:r>
      <w:proofErr w:type="spellStart"/>
      <w:r>
        <w:t>d.o.o.Na</w:t>
      </w:r>
      <w:proofErr w:type="spellEnd"/>
      <w:r>
        <w:t xml:space="preserve"> temelju Odluke o prihvaćanju nagodbe između Republike Hrvatske i HŽ Putničkog prijevoza d.o.o. o uređenju imovinsko-pravnih pitanja preostalih nakon podjele HŽ-Hrvatske željeznice d.o.o. dana 11. veljače  2025. godine sklopljena nagodba između Republike Hrvatske i društva HŽ Putnički prijevoz d.o.o. U skladu s odredbama članka 5.2. Nagodbe iznos od 3.168.115,10 EUR je isplaćen društvu HŽ Putnički prijevoz d.o.o. u 2025. godini kao povećanje temeljnog kapitala.</w:t>
      </w:r>
    </w:p>
    <w:p w:rsidR="000B5F65" w:rsidRDefault="0016462E">
      <w:r>
        <w:t xml:space="preserve">Temeljem Odluke Vlade RH o odobrenju povećanja temeljnog kapitala društva Croatia Airlines od 12.12.2025. izvršena je dokapitalizacija u iznosu od 43 </w:t>
      </w:r>
      <w:proofErr w:type="spellStart"/>
      <w:r>
        <w:t>mil</w:t>
      </w:r>
      <w:proofErr w:type="spellEnd"/>
      <w:r>
        <w:t xml:space="preserve"> EUR pretvaranjem potraživanja po danim zajmovima i kamatama u kapital. Budući da do 31.12.2025. u Trgovačkom sudu nije evidentirano povećanje kapitala društava HŽI, HŽ PP i Croatia Airlines, uplaćena sredstva za dokapitalizaciju nisu evidentirana na skupini konta 15 nego na ostalim potraživanjima-rezerve u kapitalu. Nakon evidentiranja  dokapitalizacije u Trgovačkom sudu dokapitalizacija će se evidentirati na skupini konta 15.</w:t>
      </w:r>
    </w:p>
    <w:p w:rsidR="000B5F65" w:rsidRDefault="0016462E">
      <w:r>
        <w:t> </w:t>
      </w:r>
    </w:p>
    <w:p w:rsidR="000B5F65" w:rsidRDefault="000B5F65"/>
    <w:p w:rsidR="000B5F65" w:rsidRDefault="0016462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19</w:t>
            </w:r>
          </w:p>
        </w:tc>
        <w:tc>
          <w:tcPr>
            <w:tcW w:w="3180" w:type="dxa"/>
            <w:tcMar>
              <w:top w:w="0" w:type="dxa"/>
              <w:bottom w:w="0" w:type="dxa"/>
            </w:tcMar>
            <w:vAlign w:val="center"/>
          </w:tcPr>
          <w:p w:rsidR="000B5F65" w:rsidRDefault="0016462E">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rsidR="000B5F65" w:rsidRDefault="0016462E">
            <w:pPr>
              <w:keepNext/>
              <w:keepLines/>
              <w:spacing w:after="0" w:line="240" w:lineRule="auto"/>
            </w:pPr>
            <w:r>
              <w:rPr>
                <w:sz w:val="18"/>
              </w:rPr>
              <w:t>19</w:t>
            </w:r>
          </w:p>
        </w:tc>
        <w:tc>
          <w:tcPr>
            <w:tcW w:w="1860" w:type="dxa"/>
            <w:tcMar>
              <w:top w:w="0" w:type="dxa"/>
              <w:bottom w:w="0" w:type="dxa"/>
            </w:tcMar>
            <w:vAlign w:val="center"/>
          </w:tcPr>
          <w:p w:rsidR="000B5F65" w:rsidRDefault="0016462E">
            <w:pPr>
              <w:keepNext/>
              <w:keepLines/>
              <w:spacing w:after="0" w:line="240" w:lineRule="auto"/>
              <w:jc w:val="right"/>
            </w:pPr>
            <w:r>
              <w:rPr>
                <w:sz w:val="18"/>
              </w:rPr>
              <w:t>34.850.833,68</w:t>
            </w:r>
          </w:p>
        </w:tc>
        <w:tc>
          <w:tcPr>
            <w:tcW w:w="1860" w:type="dxa"/>
            <w:tcMar>
              <w:top w:w="0" w:type="dxa"/>
              <w:bottom w:w="0" w:type="dxa"/>
            </w:tcMar>
            <w:vAlign w:val="center"/>
          </w:tcPr>
          <w:p w:rsidR="000B5F65" w:rsidRDefault="0016462E">
            <w:pPr>
              <w:keepNext/>
              <w:keepLines/>
              <w:spacing w:after="0" w:line="240" w:lineRule="auto"/>
              <w:jc w:val="right"/>
            </w:pPr>
            <w:r>
              <w:rPr>
                <w:sz w:val="18"/>
              </w:rPr>
              <w:t>549.804,92</w:t>
            </w:r>
          </w:p>
        </w:tc>
        <w:tc>
          <w:tcPr>
            <w:tcW w:w="700" w:type="dxa"/>
            <w:tcMar>
              <w:top w:w="0" w:type="dxa"/>
              <w:bottom w:w="0" w:type="dxa"/>
            </w:tcMar>
            <w:vAlign w:val="center"/>
          </w:tcPr>
          <w:p w:rsidR="000B5F65" w:rsidRDefault="0016462E">
            <w:pPr>
              <w:keepNext/>
              <w:keepLines/>
              <w:spacing w:after="0" w:line="240" w:lineRule="auto"/>
              <w:jc w:val="right"/>
            </w:pPr>
            <w:r>
              <w:rPr>
                <w:sz w:val="18"/>
              </w:rPr>
              <w:t>1,6</w:t>
            </w:r>
          </w:p>
        </w:tc>
      </w:tr>
    </w:tbl>
    <w:p w:rsidR="000B5F65" w:rsidRDefault="000B5F65">
      <w:pPr>
        <w:spacing w:after="0"/>
      </w:pPr>
    </w:p>
    <w:p w:rsidR="000B5F65" w:rsidRDefault="0016462E">
      <w:r>
        <w:t>Plaćene članarine za 2026. godinu, licence te plaćene premije osiguranja vozila za 2026. godinu evidentirani su na unaprijed plaćenim rashodima budućih razdoblja. Ministarstvo u Misiji RH pri EU u Bruxellesu ima 3 zaposlena djelatnika za koje krajem mjeseca dostavlja sredstva za isplatu plaća, najamnina i ostalih troškova u idućem mjesecu.</w:t>
      </w:r>
    </w:p>
    <w:p w:rsidR="000B5F65" w:rsidRDefault="000B5F65"/>
    <w:p w:rsidR="000B5F65" w:rsidRDefault="0016462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2</w:t>
            </w:r>
          </w:p>
        </w:tc>
        <w:tc>
          <w:tcPr>
            <w:tcW w:w="3180" w:type="dxa"/>
            <w:tcMar>
              <w:top w:w="0" w:type="dxa"/>
              <w:bottom w:w="0" w:type="dxa"/>
            </w:tcMar>
            <w:vAlign w:val="center"/>
          </w:tcPr>
          <w:p w:rsidR="000B5F65" w:rsidRDefault="0016462E">
            <w:pPr>
              <w:keepNext/>
              <w:keepLines/>
              <w:spacing w:after="0" w:line="240" w:lineRule="auto"/>
            </w:pPr>
            <w:r>
              <w:rPr>
                <w:sz w:val="18"/>
              </w:rPr>
              <w:t>Obveze (šifre 23+24+25+26+27+29)</w:t>
            </w:r>
          </w:p>
        </w:tc>
        <w:tc>
          <w:tcPr>
            <w:tcW w:w="700" w:type="dxa"/>
            <w:tcMar>
              <w:top w:w="0" w:type="dxa"/>
              <w:bottom w:w="0" w:type="dxa"/>
            </w:tcMar>
            <w:vAlign w:val="center"/>
          </w:tcPr>
          <w:p w:rsidR="000B5F65" w:rsidRDefault="0016462E">
            <w:pPr>
              <w:keepNext/>
              <w:keepLines/>
              <w:spacing w:after="0" w:line="240" w:lineRule="auto"/>
            </w:pPr>
            <w:r>
              <w:rPr>
                <w:sz w:val="18"/>
              </w:rPr>
              <w:t>2</w:t>
            </w:r>
          </w:p>
        </w:tc>
        <w:tc>
          <w:tcPr>
            <w:tcW w:w="1860" w:type="dxa"/>
            <w:tcMar>
              <w:top w:w="0" w:type="dxa"/>
              <w:bottom w:w="0" w:type="dxa"/>
            </w:tcMar>
            <w:vAlign w:val="center"/>
          </w:tcPr>
          <w:p w:rsidR="000B5F65" w:rsidRDefault="0016462E">
            <w:pPr>
              <w:keepNext/>
              <w:keepLines/>
              <w:spacing w:after="0" w:line="240" w:lineRule="auto"/>
              <w:jc w:val="right"/>
            </w:pPr>
            <w:r>
              <w:rPr>
                <w:sz w:val="18"/>
              </w:rPr>
              <w:t>58.553.876,24</w:t>
            </w:r>
          </w:p>
        </w:tc>
        <w:tc>
          <w:tcPr>
            <w:tcW w:w="1860" w:type="dxa"/>
            <w:tcMar>
              <w:top w:w="0" w:type="dxa"/>
              <w:bottom w:w="0" w:type="dxa"/>
            </w:tcMar>
            <w:vAlign w:val="center"/>
          </w:tcPr>
          <w:p w:rsidR="000B5F65" w:rsidRDefault="0016462E">
            <w:pPr>
              <w:keepNext/>
              <w:keepLines/>
              <w:spacing w:after="0" w:line="240" w:lineRule="auto"/>
              <w:jc w:val="right"/>
            </w:pPr>
            <w:r>
              <w:rPr>
                <w:sz w:val="18"/>
              </w:rPr>
              <w:t>130.099.809,92</w:t>
            </w:r>
          </w:p>
        </w:tc>
        <w:tc>
          <w:tcPr>
            <w:tcW w:w="700" w:type="dxa"/>
            <w:tcMar>
              <w:top w:w="0" w:type="dxa"/>
              <w:bottom w:w="0" w:type="dxa"/>
            </w:tcMar>
            <w:vAlign w:val="center"/>
          </w:tcPr>
          <w:p w:rsidR="000B5F65" w:rsidRDefault="0016462E">
            <w:pPr>
              <w:keepNext/>
              <w:keepLines/>
              <w:spacing w:after="0" w:line="240" w:lineRule="auto"/>
              <w:jc w:val="right"/>
            </w:pPr>
            <w:r>
              <w:rPr>
                <w:sz w:val="18"/>
              </w:rPr>
              <w:t>222,2</w:t>
            </w:r>
          </w:p>
        </w:tc>
      </w:tr>
    </w:tbl>
    <w:p w:rsidR="000B5F65" w:rsidRDefault="000B5F65">
      <w:pPr>
        <w:spacing w:after="0"/>
      </w:pPr>
    </w:p>
    <w:p w:rsidR="000B5F65" w:rsidRDefault="0016462E">
      <w:r>
        <w:t>Na dan 31. prosinca 2025. godine Ministarstvo mora, prometa i infrastrukture imalo je nepodmirene obveze u iznosu od 130.099.809,92 EUR. Obveze prema dobavljačima za isporučene robe, izvršene radove i usluge su podmirene u siječnju 2026. godine. Evidentirane obveze prema dobavljačima roba, radova i usluga na dan 31. 12. 2024. godine odnose se na račune za isporučene robe, radove i usluge u prosincu 2026. godine čije je dospijeće u 2026. godini. Najznačajnije obveze prema dobavljačima su obveze za isporučene brodice u prosincu 2025., a dospijeće računa je u 2026. (3.514.085,70 EUR).</w:t>
      </w:r>
    </w:p>
    <w:p w:rsidR="000B5F65" w:rsidRDefault="0016462E">
      <w:r>
        <w:lastRenderedPageBreak/>
        <w:t>Najveće evidentirane obveze odnose se na obveze za povrat u Državni proračun (106.951.338,62 EUR) za isplaćene predujmove za EU projekte ranijih godina, za isplaćene predujmove za gradnju brodova, za isplaćene stipendije učenicima i studentima za koje je tražen povrat u Državni proračun, za isplaćena bolovanja preko 42 dana, za potraživanje od Bina-Istre po koncesijskom ugovoru, za potraživanja za neprihvatljive troškove po projektu i potraživanja po nagodbi te za primljene predujmove za EU projekte gdje je Ministarstvo korisnik projekta.</w:t>
      </w:r>
    </w:p>
    <w:p w:rsidR="000B5F65" w:rsidRDefault="0016462E">
      <w:r>
        <w:t xml:space="preserve">Obveze za naknade šteta pravnim i fizičkim osobama u iznosu od 21.462.201,91 EUR odnose se na obveze za izuzeto javno dobro koje dospijevaju u  2026. i 2027. godini. U 2022. godini Vlada RH je donijela Odluku o prihvaćanju nagodbe između Republike Hrvatske i društva HŽ </w:t>
      </w:r>
      <w:proofErr w:type="spellStart"/>
      <w:r>
        <w:t>Cargo</w:t>
      </w:r>
      <w:proofErr w:type="spellEnd"/>
      <w:r>
        <w:t xml:space="preserve"> d.o.o. u svrhu restrukturiranja kako bi se HŽ </w:t>
      </w:r>
      <w:proofErr w:type="spellStart"/>
      <w:r>
        <w:t>Cargu</w:t>
      </w:r>
      <w:proofErr w:type="spellEnd"/>
      <w:r>
        <w:t xml:space="preserve">  namirilo manje prenesenog temeljnog kapitala na ime ulaganja u javno dobro. Na dan 31.12.2025. obveza po ovoj Nagodbi je 21.462.201,85 EUR.</w:t>
      </w:r>
    </w:p>
    <w:p w:rsidR="000B5F65" w:rsidRDefault="000B5F65"/>
    <w:p w:rsidR="000B5F65" w:rsidRDefault="0016462E">
      <w:pPr>
        <w:keepNext/>
        <w:spacing w:line="240" w:lineRule="auto"/>
        <w:jc w:val="center"/>
      </w:pPr>
      <w:r>
        <w:rPr>
          <w:b/>
          <w:sz w:val="28"/>
        </w:rPr>
        <w:t>Izvještaj o rashodima prema funkcijskoj klasifikaciji</w:t>
      </w:r>
    </w:p>
    <w:p w:rsidR="000B5F65" w:rsidRDefault="0016462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0451</w:t>
            </w:r>
          </w:p>
        </w:tc>
        <w:tc>
          <w:tcPr>
            <w:tcW w:w="3180" w:type="dxa"/>
            <w:tcMar>
              <w:top w:w="0" w:type="dxa"/>
              <w:bottom w:w="0" w:type="dxa"/>
            </w:tcMar>
            <w:vAlign w:val="center"/>
          </w:tcPr>
          <w:p w:rsidR="000B5F65" w:rsidRDefault="0016462E">
            <w:pPr>
              <w:keepNext/>
              <w:keepLines/>
              <w:spacing w:after="0" w:line="240" w:lineRule="auto"/>
            </w:pPr>
            <w:r>
              <w:rPr>
                <w:sz w:val="18"/>
              </w:rPr>
              <w:t>Cestovni promet</w:t>
            </w:r>
          </w:p>
        </w:tc>
        <w:tc>
          <w:tcPr>
            <w:tcW w:w="700" w:type="dxa"/>
            <w:tcMar>
              <w:top w:w="0" w:type="dxa"/>
              <w:bottom w:w="0" w:type="dxa"/>
            </w:tcMar>
            <w:vAlign w:val="center"/>
          </w:tcPr>
          <w:p w:rsidR="000B5F65" w:rsidRDefault="0016462E">
            <w:pPr>
              <w:keepNext/>
              <w:keepLines/>
              <w:spacing w:after="0" w:line="240" w:lineRule="auto"/>
            </w:pPr>
            <w:r>
              <w:rPr>
                <w:sz w:val="18"/>
              </w:rPr>
              <w:t>0451</w:t>
            </w:r>
          </w:p>
        </w:tc>
        <w:tc>
          <w:tcPr>
            <w:tcW w:w="1860" w:type="dxa"/>
            <w:tcMar>
              <w:top w:w="0" w:type="dxa"/>
              <w:bottom w:w="0" w:type="dxa"/>
            </w:tcMar>
            <w:vAlign w:val="center"/>
          </w:tcPr>
          <w:p w:rsidR="000B5F65" w:rsidRDefault="0016462E">
            <w:pPr>
              <w:keepNext/>
              <w:keepLines/>
              <w:spacing w:after="0" w:line="240" w:lineRule="auto"/>
              <w:jc w:val="right"/>
            </w:pPr>
            <w:r>
              <w:rPr>
                <w:sz w:val="18"/>
              </w:rPr>
              <w:t>545.757.213,48</w:t>
            </w:r>
          </w:p>
        </w:tc>
        <w:tc>
          <w:tcPr>
            <w:tcW w:w="1860" w:type="dxa"/>
            <w:tcMar>
              <w:top w:w="0" w:type="dxa"/>
              <w:bottom w:w="0" w:type="dxa"/>
            </w:tcMar>
            <w:vAlign w:val="center"/>
          </w:tcPr>
          <w:p w:rsidR="000B5F65" w:rsidRDefault="0016462E">
            <w:pPr>
              <w:keepNext/>
              <w:keepLines/>
              <w:spacing w:after="0" w:line="240" w:lineRule="auto"/>
              <w:jc w:val="right"/>
            </w:pPr>
            <w:r>
              <w:rPr>
                <w:sz w:val="18"/>
              </w:rPr>
              <w:t>504.998.935,08</w:t>
            </w:r>
          </w:p>
        </w:tc>
        <w:tc>
          <w:tcPr>
            <w:tcW w:w="700" w:type="dxa"/>
            <w:tcMar>
              <w:top w:w="0" w:type="dxa"/>
              <w:bottom w:w="0" w:type="dxa"/>
            </w:tcMar>
            <w:vAlign w:val="center"/>
          </w:tcPr>
          <w:p w:rsidR="000B5F65" w:rsidRDefault="0016462E">
            <w:pPr>
              <w:keepNext/>
              <w:keepLines/>
              <w:spacing w:after="0" w:line="240" w:lineRule="auto"/>
              <w:jc w:val="right"/>
            </w:pPr>
            <w:r>
              <w:rPr>
                <w:sz w:val="18"/>
              </w:rPr>
              <w:t>92,5</w:t>
            </w:r>
          </w:p>
        </w:tc>
      </w:tr>
    </w:tbl>
    <w:p w:rsidR="000B5F65" w:rsidRDefault="000B5F65">
      <w:pPr>
        <w:spacing w:after="0"/>
      </w:pPr>
    </w:p>
    <w:p w:rsidR="000B5F65" w:rsidRDefault="0016462E">
      <w:r>
        <w:t xml:space="preserve">Rashodi za cestovni promet manji su za 40 </w:t>
      </w:r>
      <w:proofErr w:type="spellStart"/>
      <w:r>
        <w:t>mil</w:t>
      </w:r>
      <w:proofErr w:type="spellEnd"/>
      <w:r>
        <w:t xml:space="preserve"> EUR u odnosu na 2024. budući da su značajniji projekti koji su financirani iz OP Konkurentnost i kohezija završeni u 2024. godini. Osim toga naknada u cijeni goriva koja se isplaćuje HAC-u je za 37 </w:t>
      </w:r>
      <w:proofErr w:type="spellStart"/>
      <w:r>
        <w:t>mil</w:t>
      </w:r>
      <w:proofErr w:type="spellEnd"/>
      <w:r>
        <w:t xml:space="preserve"> EUR manja nego u 2024., a naknada u cijeni goriva za HC veća je za 32 </w:t>
      </w:r>
      <w:proofErr w:type="spellStart"/>
      <w:r>
        <w:t>mil</w:t>
      </w:r>
      <w:proofErr w:type="spellEnd"/>
      <w:r>
        <w:t xml:space="preserve"> EUR.</w:t>
      </w:r>
    </w:p>
    <w:p w:rsidR="000B5F65" w:rsidRDefault="000B5F65"/>
    <w:p w:rsidR="000B5F65" w:rsidRDefault="0016462E">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0453</w:t>
            </w:r>
          </w:p>
        </w:tc>
        <w:tc>
          <w:tcPr>
            <w:tcW w:w="3180" w:type="dxa"/>
            <w:tcMar>
              <w:top w:w="0" w:type="dxa"/>
              <w:bottom w:w="0" w:type="dxa"/>
            </w:tcMar>
            <w:vAlign w:val="center"/>
          </w:tcPr>
          <w:p w:rsidR="000B5F65" w:rsidRDefault="0016462E">
            <w:pPr>
              <w:keepNext/>
              <w:keepLines/>
              <w:spacing w:after="0" w:line="240" w:lineRule="auto"/>
            </w:pPr>
            <w:r>
              <w:rPr>
                <w:sz w:val="18"/>
              </w:rPr>
              <w:t>Željeznički promet</w:t>
            </w:r>
          </w:p>
        </w:tc>
        <w:tc>
          <w:tcPr>
            <w:tcW w:w="700" w:type="dxa"/>
            <w:tcMar>
              <w:top w:w="0" w:type="dxa"/>
              <w:bottom w:w="0" w:type="dxa"/>
            </w:tcMar>
            <w:vAlign w:val="center"/>
          </w:tcPr>
          <w:p w:rsidR="000B5F65" w:rsidRDefault="0016462E">
            <w:pPr>
              <w:keepNext/>
              <w:keepLines/>
              <w:spacing w:after="0" w:line="240" w:lineRule="auto"/>
            </w:pPr>
            <w:r>
              <w:rPr>
                <w:sz w:val="18"/>
              </w:rPr>
              <w:t>0453</w:t>
            </w:r>
          </w:p>
        </w:tc>
        <w:tc>
          <w:tcPr>
            <w:tcW w:w="1860" w:type="dxa"/>
            <w:tcMar>
              <w:top w:w="0" w:type="dxa"/>
              <w:bottom w:w="0" w:type="dxa"/>
            </w:tcMar>
            <w:vAlign w:val="center"/>
          </w:tcPr>
          <w:p w:rsidR="000B5F65" w:rsidRDefault="0016462E">
            <w:pPr>
              <w:keepNext/>
              <w:keepLines/>
              <w:spacing w:after="0" w:line="240" w:lineRule="auto"/>
              <w:jc w:val="right"/>
            </w:pPr>
            <w:r>
              <w:rPr>
                <w:sz w:val="18"/>
              </w:rPr>
              <w:t>506.245.797,27</w:t>
            </w:r>
          </w:p>
        </w:tc>
        <w:tc>
          <w:tcPr>
            <w:tcW w:w="1860" w:type="dxa"/>
            <w:tcMar>
              <w:top w:w="0" w:type="dxa"/>
              <w:bottom w:w="0" w:type="dxa"/>
            </w:tcMar>
            <w:vAlign w:val="center"/>
          </w:tcPr>
          <w:p w:rsidR="000B5F65" w:rsidRDefault="0016462E">
            <w:pPr>
              <w:keepNext/>
              <w:keepLines/>
              <w:spacing w:after="0" w:line="240" w:lineRule="auto"/>
              <w:jc w:val="right"/>
            </w:pPr>
            <w:r>
              <w:rPr>
                <w:sz w:val="18"/>
              </w:rPr>
              <w:t>734.136.041,73</w:t>
            </w:r>
          </w:p>
        </w:tc>
        <w:tc>
          <w:tcPr>
            <w:tcW w:w="700" w:type="dxa"/>
            <w:tcMar>
              <w:top w:w="0" w:type="dxa"/>
              <w:bottom w:w="0" w:type="dxa"/>
            </w:tcMar>
            <w:vAlign w:val="center"/>
          </w:tcPr>
          <w:p w:rsidR="000B5F65" w:rsidRDefault="0016462E">
            <w:pPr>
              <w:keepNext/>
              <w:keepLines/>
              <w:spacing w:after="0" w:line="240" w:lineRule="auto"/>
              <w:jc w:val="right"/>
            </w:pPr>
            <w:r>
              <w:rPr>
                <w:sz w:val="18"/>
              </w:rPr>
              <w:t>145,0</w:t>
            </w:r>
          </w:p>
        </w:tc>
      </w:tr>
    </w:tbl>
    <w:p w:rsidR="000B5F65" w:rsidRDefault="000B5F65">
      <w:pPr>
        <w:spacing w:after="0"/>
      </w:pPr>
    </w:p>
    <w:p w:rsidR="000B5F65" w:rsidRDefault="0016462E">
      <w:r>
        <w:t xml:space="preserve">Rashodi za željeznički promet veći su za 228 </w:t>
      </w:r>
      <w:proofErr w:type="spellStart"/>
      <w:r>
        <w:t>mil</w:t>
      </w:r>
      <w:proofErr w:type="spellEnd"/>
      <w:r>
        <w:t xml:space="preserve"> EUR u odnosu na 2024. zbog investicijskih ulaganja u željezničku infrastrukturu, te zbog rasta troškova plaća i troškova dobavljača društava HŽI i HŽ PP.</w:t>
      </w:r>
    </w:p>
    <w:p w:rsidR="000B5F65" w:rsidRDefault="000B5F65"/>
    <w:p w:rsidR="000B5F65" w:rsidRDefault="0016462E">
      <w:pPr>
        <w:keepNext/>
        <w:spacing w:line="240" w:lineRule="auto"/>
        <w:jc w:val="center"/>
      </w:pPr>
      <w:r>
        <w:rPr>
          <w:sz w:val="28"/>
        </w:rPr>
        <w:lastRenderedPageBreak/>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046</w:t>
            </w:r>
          </w:p>
        </w:tc>
        <w:tc>
          <w:tcPr>
            <w:tcW w:w="3180" w:type="dxa"/>
            <w:tcMar>
              <w:top w:w="0" w:type="dxa"/>
              <w:bottom w:w="0" w:type="dxa"/>
            </w:tcMar>
            <w:vAlign w:val="center"/>
          </w:tcPr>
          <w:p w:rsidR="000B5F65" w:rsidRDefault="0016462E">
            <w:pPr>
              <w:keepNext/>
              <w:keepLines/>
              <w:spacing w:after="0" w:line="240" w:lineRule="auto"/>
            </w:pPr>
            <w:r>
              <w:rPr>
                <w:sz w:val="18"/>
              </w:rPr>
              <w:t>Komunikacije</w:t>
            </w:r>
          </w:p>
        </w:tc>
        <w:tc>
          <w:tcPr>
            <w:tcW w:w="700" w:type="dxa"/>
            <w:tcMar>
              <w:top w:w="0" w:type="dxa"/>
              <w:bottom w:w="0" w:type="dxa"/>
            </w:tcMar>
            <w:vAlign w:val="center"/>
          </w:tcPr>
          <w:p w:rsidR="000B5F65" w:rsidRDefault="0016462E">
            <w:pPr>
              <w:keepNext/>
              <w:keepLines/>
              <w:spacing w:after="0" w:line="240" w:lineRule="auto"/>
            </w:pPr>
            <w:r>
              <w:rPr>
                <w:sz w:val="18"/>
              </w:rPr>
              <w:t>046</w:t>
            </w:r>
          </w:p>
        </w:tc>
        <w:tc>
          <w:tcPr>
            <w:tcW w:w="1860" w:type="dxa"/>
            <w:tcMar>
              <w:top w:w="0" w:type="dxa"/>
              <w:bottom w:w="0" w:type="dxa"/>
            </w:tcMar>
            <w:vAlign w:val="center"/>
          </w:tcPr>
          <w:p w:rsidR="000B5F65" w:rsidRDefault="0016462E">
            <w:pPr>
              <w:keepNext/>
              <w:keepLines/>
              <w:spacing w:after="0" w:line="240" w:lineRule="auto"/>
              <w:jc w:val="right"/>
            </w:pPr>
            <w:r>
              <w:rPr>
                <w:sz w:val="18"/>
              </w:rPr>
              <w:t>53.844.519,51</w:t>
            </w:r>
          </w:p>
        </w:tc>
        <w:tc>
          <w:tcPr>
            <w:tcW w:w="1860" w:type="dxa"/>
            <w:tcMar>
              <w:top w:w="0" w:type="dxa"/>
              <w:bottom w:w="0" w:type="dxa"/>
            </w:tcMar>
            <w:vAlign w:val="center"/>
          </w:tcPr>
          <w:p w:rsidR="000B5F65" w:rsidRDefault="0016462E">
            <w:pPr>
              <w:keepNext/>
              <w:keepLines/>
              <w:spacing w:after="0" w:line="240" w:lineRule="auto"/>
              <w:jc w:val="right"/>
            </w:pPr>
            <w:r>
              <w:rPr>
                <w:sz w:val="18"/>
              </w:rPr>
              <w:t>19.369.069,34</w:t>
            </w:r>
          </w:p>
        </w:tc>
        <w:tc>
          <w:tcPr>
            <w:tcW w:w="700" w:type="dxa"/>
            <w:tcMar>
              <w:top w:w="0" w:type="dxa"/>
              <w:bottom w:w="0" w:type="dxa"/>
            </w:tcMar>
            <w:vAlign w:val="center"/>
          </w:tcPr>
          <w:p w:rsidR="000B5F65" w:rsidRDefault="0016462E">
            <w:pPr>
              <w:keepNext/>
              <w:keepLines/>
              <w:spacing w:after="0" w:line="240" w:lineRule="auto"/>
              <w:jc w:val="right"/>
            </w:pPr>
            <w:r>
              <w:rPr>
                <w:sz w:val="18"/>
              </w:rPr>
              <w:t>36,0</w:t>
            </w:r>
          </w:p>
        </w:tc>
      </w:tr>
    </w:tbl>
    <w:p w:rsidR="000B5F65" w:rsidRDefault="000B5F65">
      <w:pPr>
        <w:spacing w:after="0"/>
      </w:pPr>
    </w:p>
    <w:p w:rsidR="000B5F65" w:rsidRDefault="0016462E">
      <w:r>
        <w:t xml:space="preserve">Rashodi za komunikacije u 2025. godini manji su za 75 </w:t>
      </w:r>
      <w:proofErr w:type="spellStart"/>
      <w:r>
        <w:t>mil</w:t>
      </w:r>
      <w:proofErr w:type="spellEnd"/>
      <w:r>
        <w:t xml:space="preserve"> EUR u odnosu na 2024. jer u 2025. godini nisu ostvareni rashodi za razvoj infrastrukture širokopojasne mreže slijedeće generacije iz programa OP KK, a u 2024. su ostvareni rashodi u iznosu od 21,5 </w:t>
      </w:r>
      <w:proofErr w:type="spellStart"/>
      <w:r>
        <w:t>mil</w:t>
      </w:r>
      <w:proofErr w:type="spellEnd"/>
      <w:r>
        <w:t xml:space="preserve"> EUR. Osim toga u 2024. godini promijenjen je način isplate subvencije za obavljanje univerzalne poštanske usluge. U 2024. godini ugovorena je kvartalna isplata subvencije, te je u 2024. godini isplaćena subvencija za 3 kvartala prije konačnog obračuna i konačni obračun za 2023. godinu, a u 2025. su isplaćene naknade za 4 kvartala.</w:t>
      </w:r>
    </w:p>
    <w:p w:rsidR="000B5F65" w:rsidRDefault="00F27035">
      <w:r>
        <w:t>ž</w:t>
      </w:r>
    </w:p>
    <w:p w:rsidR="000B5F65" w:rsidRDefault="0016462E">
      <w:pPr>
        <w:keepNext/>
        <w:spacing w:line="240" w:lineRule="auto"/>
        <w:jc w:val="center"/>
      </w:pPr>
      <w:r>
        <w:rPr>
          <w:b/>
          <w:sz w:val="28"/>
        </w:rPr>
        <w:t>Promjene u vrijednosti i obujmu imovine i obveza</w:t>
      </w:r>
    </w:p>
    <w:p w:rsidR="000B5F65" w:rsidRDefault="0016462E">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16462E">
            <w:pPr>
              <w:keepNext/>
              <w:keepLines/>
              <w:spacing w:after="0" w:line="240" w:lineRule="auto"/>
            </w:pPr>
            <w:r>
              <w:rPr>
                <w:sz w:val="18"/>
              </w:rPr>
              <w:t>91512</w:t>
            </w:r>
          </w:p>
        </w:tc>
        <w:tc>
          <w:tcPr>
            <w:tcW w:w="3180" w:type="dxa"/>
            <w:tcMar>
              <w:top w:w="0" w:type="dxa"/>
              <w:bottom w:w="0" w:type="dxa"/>
            </w:tcMar>
            <w:vAlign w:val="center"/>
          </w:tcPr>
          <w:p w:rsidR="000B5F65" w:rsidRDefault="0016462E">
            <w:pPr>
              <w:keepNext/>
              <w:keepLines/>
              <w:spacing w:after="0" w:line="240" w:lineRule="auto"/>
            </w:pPr>
            <w:r>
              <w:rPr>
                <w:sz w:val="18"/>
              </w:rPr>
              <w:t>Promjene u obujmu imovine (šifre P016+P023)</w:t>
            </w:r>
          </w:p>
        </w:tc>
        <w:tc>
          <w:tcPr>
            <w:tcW w:w="700" w:type="dxa"/>
            <w:tcMar>
              <w:top w:w="0" w:type="dxa"/>
              <w:bottom w:w="0" w:type="dxa"/>
            </w:tcMar>
            <w:vAlign w:val="center"/>
          </w:tcPr>
          <w:p w:rsidR="000B5F65" w:rsidRDefault="0016462E">
            <w:pPr>
              <w:keepNext/>
              <w:keepLines/>
              <w:spacing w:after="0" w:line="240" w:lineRule="auto"/>
            </w:pPr>
            <w:r>
              <w:rPr>
                <w:sz w:val="18"/>
              </w:rPr>
              <w:t>91512</w:t>
            </w:r>
          </w:p>
        </w:tc>
        <w:tc>
          <w:tcPr>
            <w:tcW w:w="1860" w:type="dxa"/>
            <w:tcMar>
              <w:top w:w="0" w:type="dxa"/>
              <w:bottom w:w="0" w:type="dxa"/>
            </w:tcMar>
            <w:vAlign w:val="center"/>
          </w:tcPr>
          <w:p w:rsidR="000B5F65" w:rsidRDefault="0016462E">
            <w:pPr>
              <w:keepNext/>
              <w:keepLines/>
              <w:spacing w:after="0" w:line="240" w:lineRule="auto"/>
              <w:jc w:val="right"/>
            </w:pPr>
            <w:r>
              <w:rPr>
                <w:sz w:val="18"/>
              </w:rPr>
              <w:t>0,00</w:t>
            </w:r>
          </w:p>
        </w:tc>
        <w:tc>
          <w:tcPr>
            <w:tcW w:w="1860" w:type="dxa"/>
            <w:tcMar>
              <w:top w:w="0" w:type="dxa"/>
              <w:bottom w:w="0" w:type="dxa"/>
            </w:tcMar>
            <w:vAlign w:val="center"/>
          </w:tcPr>
          <w:p w:rsidR="000B5F65" w:rsidRDefault="0016462E">
            <w:pPr>
              <w:keepNext/>
              <w:keepLines/>
              <w:spacing w:after="0" w:line="240" w:lineRule="auto"/>
              <w:jc w:val="right"/>
            </w:pPr>
            <w:r>
              <w:rPr>
                <w:sz w:val="18"/>
              </w:rPr>
              <w:t>1.043.966,43</w:t>
            </w:r>
          </w:p>
        </w:tc>
        <w:tc>
          <w:tcPr>
            <w:tcW w:w="700" w:type="dxa"/>
            <w:tcMar>
              <w:top w:w="0" w:type="dxa"/>
              <w:bottom w:w="0" w:type="dxa"/>
            </w:tcMar>
            <w:vAlign w:val="center"/>
          </w:tcPr>
          <w:p w:rsidR="000B5F65" w:rsidRDefault="0016462E">
            <w:pPr>
              <w:keepNext/>
              <w:keepLines/>
              <w:spacing w:after="0" w:line="240" w:lineRule="auto"/>
              <w:jc w:val="right"/>
            </w:pPr>
            <w:r>
              <w:rPr>
                <w:sz w:val="18"/>
              </w:rPr>
              <w:t>-</w:t>
            </w:r>
          </w:p>
        </w:tc>
      </w:tr>
    </w:tbl>
    <w:p w:rsidR="000B5F65" w:rsidRDefault="000B5F65">
      <w:pPr>
        <w:spacing w:after="0"/>
      </w:pPr>
    </w:p>
    <w:p w:rsidR="000B5F65" w:rsidRDefault="0016462E">
      <w:r>
        <w:t>Isknjižena je vrijednost zemljišta u Zadru u iznosu od 250.880,69 EUR nakon odgovora Odjela za katastar nekretnina Zadar da je nekretnina koja je vezana uz Projekt šume LK u privatnom vlasništvu. Pregledom zemljišnih knjiga Općinskog suda u Zadru utvrđeno je da predmetne nekretnine nemaju poveznicu s vlasništvom Republike Hrvatske, te se isto ne vodi u evidenciji Središnjeg registra državne imovine. Temeljem svega navedenog Projekt šume LK je isknjižen iz knjige imovine Ministarstva mora, prometa i infrastrukture.</w:t>
      </w:r>
    </w:p>
    <w:p w:rsidR="000B5F65" w:rsidRDefault="0016462E">
      <w:r>
        <w:t>Jedna brodica je donirana Pomorskom fakultetu Split, jedna Općini Sali, a jedna HHI-u. MUP-u je na daljnje korištenje predana jedna antena. Gradu Zagrebu je predan projekt uređenja parkirališta temeljem Sporazuma o sufinanciranju radova.</w:t>
      </w:r>
    </w:p>
    <w:p w:rsidR="000B5F65" w:rsidRDefault="0016462E">
      <w:r>
        <w:t>Korigirana je vrijednost 1 vozila i 2 broda.</w:t>
      </w:r>
    </w:p>
    <w:p w:rsidR="000B5F65" w:rsidRDefault="000B5F65"/>
    <w:p w:rsidR="000B5F65" w:rsidRDefault="0016462E">
      <w:pPr>
        <w:keepNext/>
        <w:spacing w:line="240" w:lineRule="auto"/>
        <w:jc w:val="center"/>
      </w:pPr>
      <w:r>
        <w:rPr>
          <w:b/>
          <w:sz w:val="28"/>
        </w:rPr>
        <w:t>Izvještaj o obvezama</w:t>
      </w:r>
    </w:p>
    <w:p w:rsidR="000B5F65" w:rsidRDefault="0016462E">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0B5F65">
            <w:pPr>
              <w:keepNext/>
              <w:keepLines/>
              <w:spacing w:after="0" w:line="240" w:lineRule="auto"/>
            </w:pPr>
          </w:p>
        </w:tc>
        <w:tc>
          <w:tcPr>
            <w:tcW w:w="3180" w:type="dxa"/>
            <w:tcMar>
              <w:top w:w="0" w:type="dxa"/>
              <w:bottom w:w="0" w:type="dxa"/>
            </w:tcMar>
            <w:vAlign w:val="center"/>
          </w:tcPr>
          <w:p w:rsidR="000B5F65" w:rsidRDefault="0016462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0B5F65" w:rsidRDefault="0016462E">
            <w:pPr>
              <w:keepNext/>
              <w:keepLines/>
              <w:spacing w:after="0" w:line="240" w:lineRule="auto"/>
            </w:pPr>
            <w:r>
              <w:rPr>
                <w:sz w:val="18"/>
              </w:rPr>
              <w:t>V007</w:t>
            </w:r>
          </w:p>
        </w:tc>
        <w:tc>
          <w:tcPr>
            <w:tcW w:w="1860" w:type="dxa"/>
            <w:tcMar>
              <w:top w:w="0" w:type="dxa"/>
              <w:bottom w:w="0" w:type="dxa"/>
            </w:tcMar>
            <w:vAlign w:val="center"/>
          </w:tcPr>
          <w:p w:rsidR="000B5F65" w:rsidRDefault="0016462E">
            <w:pPr>
              <w:keepNext/>
              <w:keepLines/>
              <w:spacing w:after="0" w:line="240" w:lineRule="auto"/>
              <w:jc w:val="right"/>
            </w:pPr>
            <w:r>
              <w:rPr>
                <w:sz w:val="18"/>
              </w:rPr>
              <w:t>0,00</w:t>
            </w:r>
          </w:p>
        </w:tc>
        <w:tc>
          <w:tcPr>
            <w:tcW w:w="700" w:type="dxa"/>
            <w:tcMar>
              <w:top w:w="0" w:type="dxa"/>
              <w:bottom w:w="0" w:type="dxa"/>
            </w:tcMar>
            <w:vAlign w:val="center"/>
          </w:tcPr>
          <w:p w:rsidR="000B5F65" w:rsidRDefault="0016462E">
            <w:pPr>
              <w:keepNext/>
              <w:keepLines/>
              <w:spacing w:after="0" w:line="240" w:lineRule="auto"/>
              <w:jc w:val="right"/>
            </w:pPr>
            <w:r>
              <w:rPr>
                <w:sz w:val="18"/>
              </w:rPr>
              <w:t>-</w:t>
            </w:r>
          </w:p>
        </w:tc>
      </w:tr>
    </w:tbl>
    <w:p w:rsidR="000B5F65" w:rsidRDefault="000B5F65">
      <w:pPr>
        <w:spacing w:after="0"/>
      </w:pPr>
    </w:p>
    <w:p w:rsidR="000B5F65" w:rsidRDefault="0016462E">
      <w:r>
        <w:lastRenderedPageBreak/>
        <w:t>Na dan 31. prosinca 2025. godine Ministarstvo mora, prometa i infrastrukture nije imalo dospjelih nepodmirenih obveza.</w:t>
      </w:r>
    </w:p>
    <w:p w:rsidR="000B5F65" w:rsidRDefault="000B5F65"/>
    <w:p w:rsidR="000B5F65" w:rsidRDefault="0016462E">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B5F65">
        <w:trPr>
          <w:cantSplit/>
        </w:trPr>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0B5F65" w:rsidRDefault="0016462E">
            <w:pPr>
              <w:keepNext/>
              <w:keepLines/>
              <w:spacing w:after="0" w:line="240" w:lineRule="auto"/>
              <w:jc w:val="center"/>
            </w:pPr>
            <w:r>
              <w:rPr>
                <w:b/>
                <w:sz w:val="18"/>
              </w:rPr>
              <w:t>Indeks (%)</w:t>
            </w:r>
          </w:p>
        </w:tc>
      </w:tr>
      <w:tr w:rsidR="000B5F65">
        <w:trPr>
          <w:cantSplit/>
          <w:trHeight w:val="560"/>
        </w:trPr>
        <w:tc>
          <w:tcPr>
            <w:tcW w:w="700" w:type="dxa"/>
            <w:tcMar>
              <w:top w:w="0" w:type="dxa"/>
              <w:bottom w:w="0" w:type="dxa"/>
            </w:tcMar>
            <w:vAlign w:val="center"/>
          </w:tcPr>
          <w:p w:rsidR="000B5F65" w:rsidRDefault="000B5F65">
            <w:pPr>
              <w:keepNext/>
              <w:keepLines/>
              <w:spacing w:after="0" w:line="240" w:lineRule="auto"/>
            </w:pPr>
          </w:p>
        </w:tc>
        <w:tc>
          <w:tcPr>
            <w:tcW w:w="3180" w:type="dxa"/>
            <w:tcMar>
              <w:top w:w="0" w:type="dxa"/>
              <w:bottom w:w="0" w:type="dxa"/>
            </w:tcMar>
            <w:vAlign w:val="center"/>
          </w:tcPr>
          <w:p w:rsidR="000B5F65" w:rsidRDefault="0016462E">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0B5F65" w:rsidRDefault="0016462E">
            <w:pPr>
              <w:keepNext/>
              <w:keepLines/>
              <w:spacing w:after="0" w:line="240" w:lineRule="auto"/>
            </w:pPr>
            <w:r>
              <w:rPr>
                <w:sz w:val="18"/>
              </w:rPr>
              <w:t>V009</w:t>
            </w:r>
          </w:p>
        </w:tc>
        <w:tc>
          <w:tcPr>
            <w:tcW w:w="1860" w:type="dxa"/>
            <w:tcMar>
              <w:top w:w="0" w:type="dxa"/>
              <w:bottom w:w="0" w:type="dxa"/>
            </w:tcMar>
            <w:vAlign w:val="center"/>
          </w:tcPr>
          <w:p w:rsidR="000B5F65" w:rsidRDefault="0016462E">
            <w:pPr>
              <w:keepNext/>
              <w:keepLines/>
              <w:spacing w:after="0" w:line="240" w:lineRule="auto"/>
              <w:jc w:val="right"/>
            </w:pPr>
            <w:r>
              <w:rPr>
                <w:sz w:val="18"/>
              </w:rPr>
              <w:t>130.099.809,92</w:t>
            </w:r>
          </w:p>
        </w:tc>
        <w:tc>
          <w:tcPr>
            <w:tcW w:w="700" w:type="dxa"/>
            <w:tcMar>
              <w:top w:w="0" w:type="dxa"/>
              <w:bottom w:w="0" w:type="dxa"/>
            </w:tcMar>
            <w:vAlign w:val="center"/>
          </w:tcPr>
          <w:p w:rsidR="000B5F65" w:rsidRDefault="0016462E">
            <w:pPr>
              <w:keepNext/>
              <w:keepLines/>
              <w:spacing w:after="0" w:line="240" w:lineRule="auto"/>
              <w:jc w:val="right"/>
            </w:pPr>
            <w:r>
              <w:rPr>
                <w:sz w:val="18"/>
              </w:rPr>
              <w:t>-</w:t>
            </w:r>
          </w:p>
        </w:tc>
      </w:tr>
    </w:tbl>
    <w:p w:rsidR="000B5F65" w:rsidRDefault="000B5F65">
      <w:pPr>
        <w:spacing w:after="0"/>
      </w:pPr>
    </w:p>
    <w:p w:rsidR="000B5F65" w:rsidRDefault="0016462E">
      <w:r>
        <w:t>Najveće evidentirane obveze odnose se na obveze za povrat u Državni proračun (106.951.338,62 EUR) i obveze za naknade šteta pravnim i fizičkim osobama u iznosu od 21.462.201,91 EUR, a koje se odnose se na obveze za izuzeto javno dobro koje dospijevaju u  2026. i 2027. godini.</w:t>
      </w:r>
    </w:p>
    <w:p w:rsidR="000B5F65" w:rsidRDefault="000B5F65"/>
    <w:p w:rsidR="0085232F" w:rsidRDefault="0085232F" w:rsidP="0085232F">
      <w:pPr>
        <w:spacing w:after="120"/>
      </w:pPr>
      <w:r w:rsidRPr="00AA3333">
        <w:rPr>
          <w:szCs w:val="24"/>
        </w:rPr>
        <w:t>Prilog 1. Popis sudskih sporova s osnove obveza i potraživanj</w:t>
      </w:r>
      <w:r>
        <w:rPr>
          <w:szCs w:val="24"/>
        </w:rPr>
        <w:t>a</w:t>
      </w:r>
    </w:p>
    <w:tbl>
      <w:tblPr>
        <w:tblpPr w:leftFromText="180" w:rightFromText="180" w:vertAnchor="text" w:tblpX="40" w:tblpY="1"/>
        <w:tblOverlap w:val="never"/>
        <w:tblW w:w="900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2560"/>
        <w:gridCol w:w="2560"/>
      </w:tblGrid>
      <w:tr w:rsidR="0085232F" w:rsidTr="0085232F">
        <w:trPr>
          <w:cantSplit/>
        </w:trPr>
        <w:tc>
          <w:tcPr>
            <w:tcW w:w="9000" w:type="dxa"/>
            <w:gridSpan w:val="4"/>
            <w:shd w:val="clear" w:color="auto" w:fill="E7F0F9"/>
            <w:tcMar>
              <w:top w:w="0" w:type="dxa"/>
              <w:bottom w:w="0" w:type="dxa"/>
            </w:tcMar>
            <w:vAlign w:val="center"/>
          </w:tcPr>
          <w:p w:rsidR="0085232F" w:rsidRPr="00A8245B" w:rsidRDefault="0085232F" w:rsidP="0085232F">
            <w:pPr>
              <w:keepNext/>
              <w:keepLines/>
              <w:spacing w:before="120" w:after="120" w:line="240" w:lineRule="auto"/>
              <w:rPr>
                <w:b/>
                <w:sz w:val="18"/>
                <w:szCs w:val="18"/>
              </w:rPr>
            </w:pPr>
            <w:r w:rsidRPr="00A8245B">
              <w:rPr>
                <w:b/>
                <w:bCs/>
                <w:sz w:val="18"/>
                <w:szCs w:val="18"/>
              </w:rPr>
              <w:t xml:space="preserve">Pregled sudskih sporova iz evidencije </w:t>
            </w:r>
            <w:r>
              <w:rPr>
                <w:b/>
                <w:bCs/>
                <w:sz w:val="18"/>
                <w:szCs w:val="18"/>
              </w:rPr>
              <w:t>MMPI</w:t>
            </w:r>
            <w:r w:rsidRPr="00A8245B">
              <w:rPr>
                <w:b/>
                <w:bCs/>
                <w:sz w:val="18"/>
                <w:szCs w:val="18"/>
              </w:rPr>
              <w:t xml:space="preserve">-a u kojima je </w:t>
            </w:r>
            <w:r>
              <w:rPr>
                <w:b/>
                <w:bCs/>
                <w:sz w:val="18"/>
                <w:szCs w:val="18"/>
              </w:rPr>
              <w:t>RH</w:t>
            </w:r>
            <w:r w:rsidRPr="00A8245B">
              <w:rPr>
                <w:b/>
                <w:bCs/>
                <w:sz w:val="18"/>
                <w:szCs w:val="18"/>
              </w:rPr>
              <w:t xml:space="preserve"> stranka</w:t>
            </w:r>
          </w:p>
        </w:tc>
      </w:tr>
      <w:tr w:rsidR="0085232F" w:rsidTr="0085232F">
        <w:trPr>
          <w:cantSplit/>
        </w:trPr>
        <w:tc>
          <w:tcPr>
            <w:tcW w:w="700" w:type="dxa"/>
            <w:shd w:val="clear" w:color="auto" w:fill="E7F0F9"/>
            <w:tcMar>
              <w:top w:w="0" w:type="dxa"/>
              <w:bottom w:w="0" w:type="dxa"/>
            </w:tcMar>
            <w:vAlign w:val="center"/>
          </w:tcPr>
          <w:p w:rsidR="0085232F" w:rsidRDefault="0085232F" w:rsidP="0085232F">
            <w:pPr>
              <w:keepNext/>
              <w:keepLines/>
              <w:spacing w:before="120" w:after="120" w:line="240" w:lineRule="auto"/>
              <w:jc w:val="center"/>
            </w:pPr>
            <w:r>
              <w:rPr>
                <w:b/>
                <w:sz w:val="18"/>
              </w:rPr>
              <w:t>RB.</w:t>
            </w:r>
          </w:p>
        </w:tc>
        <w:tc>
          <w:tcPr>
            <w:tcW w:w="3180" w:type="dxa"/>
            <w:shd w:val="clear" w:color="auto" w:fill="E7F0F9"/>
            <w:tcMar>
              <w:top w:w="0" w:type="dxa"/>
              <w:bottom w:w="0" w:type="dxa"/>
            </w:tcMar>
            <w:vAlign w:val="center"/>
          </w:tcPr>
          <w:p w:rsidR="0085232F" w:rsidRDefault="0085232F" w:rsidP="0085232F">
            <w:pPr>
              <w:keepNext/>
              <w:keepLines/>
              <w:spacing w:before="120" w:after="120" w:line="240" w:lineRule="auto"/>
              <w:jc w:val="center"/>
            </w:pPr>
            <w:r>
              <w:rPr>
                <w:b/>
                <w:sz w:val="18"/>
              </w:rPr>
              <w:t>BROJ PREDMETA</w:t>
            </w:r>
          </w:p>
        </w:tc>
        <w:tc>
          <w:tcPr>
            <w:tcW w:w="2560" w:type="dxa"/>
            <w:shd w:val="clear" w:color="auto" w:fill="E7F0F9"/>
            <w:tcMar>
              <w:top w:w="0" w:type="dxa"/>
              <w:bottom w:w="0" w:type="dxa"/>
            </w:tcMar>
            <w:vAlign w:val="center"/>
          </w:tcPr>
          <w:p w:rsidR="0085232F" w:rsidRDefault="0085232F" w:rsidP="0085232F">
            <w:pPr>
              <w:keepNext/>
              <w:keepLines/>
              <w:spacing w:before="120" w:after="120" w:line="240" w:lineRule="auto"/>
              <w:jc w:val="center"/>
            </w:pPr>
            <w:r>
              <w:rPr>
                <w:b/>
                <w:sz w:val="18"/>
              </w:rPr>
              <w:t>PRAVNA OSNOVA</w:t>
            </w:r>
          </w:p>
        </w:tc>
        <w:tc>
          <w:tcPr>
            <w:tcW w:w="2560" w:type="dxa"/>
            <w:shd w:val="clear" w:color="auto" w:fill="E7F0F9"/>
            <w:tcMar>
              <w:top w:w="0" w:type="dxa"/>
              <w:bottom w:w="0" w:type="dxa"/>
            </w:tcMar>
            <w:vAlign w:val="center"/>
          </w:tcPr>
          <w:p w:rsidR="0085232F" w:rsidRDefault="0085232F" w:rsidP="0085232F">
            <w:pPr>
              <w:keepNext/>
              <w:keepLines/>
              <w:spacing w:before="120" w:after="120" w:line="240" w:lineRule="auto"/>
              <w:jc w:val="center"/>
            </w:pPr>
            <w:r>
              <w:rPr>
                <w:b/>
                <w:sz w:val="18"/>
              </w:rPr>
              <w:t>V.P.S.</w:t>
            </w:r>
          </w:p>
        </w:tc>
      </w:tr>
      <w:tr w:rsidR="0085232F" w:rsidRPr="00A8245B" w:rsidTr="0085232F">
        <w:trPr>
          <w:cantSplit/>
        </w:trPr>
        <w:tc>
          <w:tcPr>
            <w:tcW w:w="700" w:type="dxa"/>
            <w:tcBorders>
              <w:top w:val="single" w:sz="12"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w:t>
            </w:r>
          </w:p>
        </w:tc>
        <w:tc>
          <w:tcPr>
            <w:tcW w:w="3180" w:type="dxa"/>
            <w:tcBorders>
              <w:top w:val="single" w:sz="12"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Ovrv-3489/15</w:t>
            </w:r>
          </w:p>
        </w:tc>
        <w:tc>
          <w:tcPr>
            <w:tcW w:w="2560" w:type="dxa"/>
            <w:tcBorders>
              <w:top w:val="single" w:sz="12"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ovršnog postupka uvođenja u dio poslovnog prostora</w:t>
            </w:r>
          </w:p>
        </w:tc>
        <w:tc>
          <w:tcPr>
            <w:tcW w:w="2560" w:type="dxa"/>
            <w:tcBorders>
              <w:top w:val="single" w:sz="12"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39,82 €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P-6501/01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208.959,14 €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P-475/09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utvrđivanja prava vlasništva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1.327,23 €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 xml:space="preserve">P-35/12, </w:t>
            </w:r>
            <w:proofErr w:type="spellStart"/>
            <w:r w:rsidRPr="00A8245B">
              <w:t>Pž</w:t>
            </w:r>
            <w:proofErr w:type="spellEnd"/>
            <w:r w:rsidRPr="00A8245B">
              <w:t xml:space="preserve"> 4660/13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 stečenog bez osnove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9.709,34 €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P-268/14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52.637,87 €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P-4787/05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113.337,86 €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P-2425/16-1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brisanja uknjižbe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26.544,56 €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2.486.551,21 €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Pž-5857/19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72.180,58 €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P-1737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naknada štete, izmakle dobiti, nepravilni rad TDU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36.001.566,66 €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P-1979/19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naknada štete radi odgovornosti RH za propuste u radu TDU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36.001.566,66 €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P-107/18</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stjecanje bez osnove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16.041.154,69 €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P-784/11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7.935.929,01 €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P-111/12, žalbeni Pž-2235/22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naknada štete radi odgovornosti RH za propuste u radu TDU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159.267,37 €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P-DO-47/18</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naknada štete  - nezakonit rad LU Split</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4.645.298,29 €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lastRenderedPageBreak/>
              <w:t>16.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P-DO-326/2020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naknada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19.521.185,70 €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P-417/16</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naknada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34.846.844,30 €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P-498/2020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1.737.341,56 €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P-292/2015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naknada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926.692,78 €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20.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P-85/2020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utvrđenje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66.361,54 €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21.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P-DO-17/21-III-30; naša KLASA:342-22/20-01/38 (JOP 5845536)</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tužba na utvrđenje i trpljenje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6.636,14 €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22.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P-50/20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utvrđenje prava na posjed nekretnina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1.340,50 €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23.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zahtjev za mirnim rješenjem spora - naknada za izvlaštenje - pretvorba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16.355,90 €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24.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šteta nastala havarijom na terminalu tekućih tereta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814.781,10 €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25.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predaja u posjed</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132.722,81 €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26.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P-119/20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isplata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214.724.621,86 €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27.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363-06/22-06/1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4.210.631,10 €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28.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P-43/22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tužba radi utvrđenja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4.479.394,78 €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29.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302-02/22-01/1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453.922,12 €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363-06/22-06/1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utvrđenja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8.184.129,40 €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P-671/21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tužba radi utvrđenja/ protutužba 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13.272,28 €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P-DO/19 - broj pod kojim ŽDO vodi predmet (nema P broja u spisu)</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utvrđenja i trpljenja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7.963,37 €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P-508/2021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utvrđenja i trpljenja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13.272,41 €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P-42/2022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trpljenja i utvrđenja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6.768,86 €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P-505/2021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utvrđenja i trpljenja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132.722,94 €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Pst-107/15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utvrđenja, alt.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132.722,81 €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P-431/2020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stjecanje bez osnove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104.950,10 €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UP/I-944-07/15-01/00002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izvlaštenje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90.199,87 €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Ovr-2739/2014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predaje u posjed</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398,17 €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40.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P-420/22, P-411/2022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4.769.057,43 €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41.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342-01/05-01/612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199.084,21 €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42.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P-210/2022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utvrđenja ništetnosti (predstečajne nagodbe)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1.327,36 €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43.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N-DO-28/2022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444.017,00 €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44.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6 P402/2022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5.499,06 €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45.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N-DO-132/2023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za eksportiranu nekretninu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45.150,00 €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46.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N-DO-14/2023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zahtjev za mirno rješenje spora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13.257,32 €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47.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P-821/2021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naknada za čest</w:t>
            </w:r>
            <w:r>
              <w:t xml:space="preserve">icu </w:t>
            </w:r>
            <w:r w:rsidRPr="00A8245B">
              <w:t>zemlj</w:t>
            </w:r>
            <w:r>
              <w:t>išta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30.884,60 €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lastRenderedPageBreak/>
              <w:t>48.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P-DO-8/2024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ispravak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49.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P-DO-5/2024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brisanje provedenog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50.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P-DP-14/2023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brisovna tužba, nevaljali upis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30.000,00 €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51.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P-DO-46/2021 Presuda poslovni br. 13P-543/2021-5 TS ST, Presuda poslovni br. 67Pž-1163/ 2022- 3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brisanje knjižnog prava bez vođenja kontradiktornog utvrđenja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34.774,59 €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52.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zahtjev za mirno rješenje spora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3.000,00 €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53.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P-DO-51/2017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zahtjev za mirno rješenje spora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5.157.254,01 €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54.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N-DO-5/2024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10.000.000,00 €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55.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P-DO-21/2024-2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utvrđenja prava vlasništva i upis prava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20.000,00 €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56.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proofErr w:type="spellStart"/>
            <w:r w:rsidRPr="00A8245B">
              <w:t>Posl</w:t>
            </w:r>
            <w:proofErr w:type="spellEnd"/>
            <w:r w:rsidRPr="00A8245B">
              <w:t>. br. P-2520/19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brisanje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400,00 €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57.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P-DO-31/2021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200.000,00 €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58.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P-DO-63/2024-2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ispravak zemljišnoknjižnog upisa radi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1.333,00 €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59.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P-DO-64/2024-3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ispravak zemljišnoknjižnog upisa radi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1.333,00 €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60.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P-DO-13/2024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ispravka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1.286.400,00 €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61.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P-DO-6/2021-67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upisa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2.468.644,24 €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62.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P-DO-9/25-XVI</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utvrđenja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10.327,00 €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63.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N-DO-86/2025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79.464.350,00 €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64.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P-DO-2/2022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189.643,48 €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65.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P-DO-7/2025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ispravka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66.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P-DO-7/2025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osporava se upis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67.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P-DO-23/2023-39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926.692,78 €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68.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P-DO-6/2025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tužba radi uknjižbe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1.327,23 €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69.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P-DO-6/2025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pomorskog dobra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70.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P-DO-2/2025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ispravak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71.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P-DO-3/2025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ispravka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lastRenderedPageBreak/>
              <w:t>72.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P-DO-6/2024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ispravak zemljišnoknjižnog upisa radi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73.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P-DO-7/2024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ispravak zemljišnoknjižnog upisa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10.000,00 €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74.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N-DO-21/2025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Zahtjev za mirno rješenje spora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601.234,32 €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75.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P-246/2014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naplate potraživanja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53.354,57 €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76.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Pr-228/16</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1.393,59 €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77.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Pr-172/16 (P-DO-30/2017)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 uvećanog djela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1.924,48 €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78.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Pn-303/17 (P-DO-89/17)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163.912,67 €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79.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P-DO-26/12 P-DO-26/12(10. P-693/12)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 uzrokovane onečišćenjem mora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186.312,02 €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80.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(S-DO-284/19) St-71/2019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nepodmirene obveze prema MMPI</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212,09 €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81.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P-108/20 (P-DO-11/2020)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65.565,07 €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82.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sudski broj nepoznat (P-DO-55/2020)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87.633,55 €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83.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sudski broj nepoznat (N-DO-30/2019)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119.450,53 €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84.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P-163/2019 (P-DO-63/2020)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70.077,64 €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85.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Pr-155/2020 (P-DO-157/2021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663,61 €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86.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Pr-154/2020(P-DO-158/2021)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663,61 €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87.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Pr-336/2020 (P-DO-160/2021)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663,61 €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88.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Pr-337/2020</w:t>
            </w:r>
            <w:r w:rsidRPr="00A8245B">
              <w:br/>
              <w:t>(P-DO-159/2021)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 uvećanog dijela plaće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663,61 €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89.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Pn-92/2021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19.908,42 €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90.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_</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5.995,79 €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91.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P-856/99 (stari broj) P-671/13 (novi broj)</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416.683,26 €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92.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P-1174/05 (stari broj)    P-9396/07    (novi broj)</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stjecanja bez osnove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554.468,47 €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93.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P-1913/01 (stari broj)    P-2724/11    (novi broj)</w:t>
            </w:r>
            <w:r w:rsidRPr="00A8245B">
              <w:br/>
              <w:t>p-1699/15</w:t>
            </w:r>
            <w:r w:rsidRPr="00A8245B">
              <w:br/>
              <w:t>(novi broj)</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utvrđivanja prava vlasništva 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1.327,23 €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94.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P-1732/07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utvrđenja ništavosti darovnog ugovora</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846.771,52 €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95.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Pn-6539/10</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26.544,56 €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96.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P-5931/14</w:t>
            </w:r>
            <w:r w:rsidRPr="00A8245B">
              <w:br/>
              <w:t>(stari broj)</w:t>
            </w:r>
            <w:r w:rsidRPr="00A8245B">
              <w:br/>
              <w:t>P-2951/15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1.361.683,07 €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lastRenderedPageBreak/>
              <w:t>97.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ODZ VII P-DO/1079/07</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priznavanje ulaganja u nekretninu</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344.752,67 €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98.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P-489/14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50.434,67 €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99.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P-489/14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50.273,28 €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100.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Pn-5409/11</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štete zbog izgubljene zarade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56.423,19 €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101.</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P-143/15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naknada štete za oduzeto zemljište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10.511,65 €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102.</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proofErr w:type="spellStart"/>
            <w:r w:rsidRPr="00A8245B">
              <w:t>Rev</w:t>
            </w:r>
            <w:proofErr w:type="spellEnd"/>
            <w:r w:rsidRPr="00A8245B">
              <w:t xml:space="preserve"> 1788/11-2</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predaje u posjed 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39.020,51 €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103.</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PN-2069/18</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128.263,09 €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104.</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P-1208/2019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1.556.490,97 €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105.</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P-1207/2019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565.362,40 €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106.</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P-2622/14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w:t>
            </w:r>
            <w:r>
              <w:t xml:space="preserve"> </w:t>
            </w:r>
            <w:r w:rsidRPr="00A8245B">
              <w:t>isplate garancije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809.229,32 €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107.</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P-890/15</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naknade štete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128.461,31 €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108.</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P-DO-13/16-84</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radi isplate</w:t>
            </w: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228.088,35 €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109.</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050-01/23-01/269</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920,00 € </w:t>
            </w:r>
          </w:p>
        </w:tc>
      </w:tr>
      <w:tr w:rsidR="0085232F" w:rsidRPr="00A8245B" w:rsidTr="0085232F">
        <w:trPr>
          <w:cantSplit/>
        </w:trPr>
        <w:tc>
          <w:tcPr>
            <w:tcW w:w="700" w:type="dxa"/>
            <w:tcBorders>
              <w:top w:val="single" w:sz="8" w:space="0" w:color="BABABA"/>
              <w:left w:val="single" w:sz="12" w:space="0" w:color="BABAB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110.</w:t>
            </w:r>
          </w:p>
        </w:tc>
        <w:tc>
          <w:tcPr>
            <w:tcW w:w="318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Us I-1479/2023</w:t>
            </w:r>
          </w:p>
        </w:tc>
        <w:tc>
          <w:tcPr>
            <w:tcW w:w="2560" w:type="dxa"/>
            <w:tcBorders>
              <w:top w:val="single" w:sz="8" w:space="0" w:color="BABABA"/>
              <w:left w:val="single" w:sz="8" w:space="0" w:color="DADADA"/>
              <w:bottom w:val="single" w:sz="8"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p>
        </w:tc>
        <w:tc>
          <w:tcPr>
            <w:tcW w:w="2560" w:type="dxa"/>
            <w:tcBorders>
              <w:top w:val="single" w:sz="8" w:space="0" w:color="BABABA"/>
              <w:left w:val="single" w:sz="8" w:space="0" w:color="DADADA"/>
              <w:bottom w:val="single" w:sz="8"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3.750,00 € </w:t>
            </w:r>
          </w:p>
        </w:tc>
      </w:tr>
      <w:tr w:rsidR="0085232F" w:rsidRPr="00A8245B" w:rsidTr="0085232F">
        <w:trPr>
          <w:cantSplit/>
        </w:trPr>
        <w:tc>
          <w:tcPr>
            <w:tcW w:w="700" w:type="dxa"/>
            <w:tcBorders>
              <w:top w:val="single" w:sz="8" w:space="0" w:color="BABABA"/>
              <w:left w:val="single" w:sz="12" w:space="0" w:color="BABABA"/>
              <w:bottom w:val="single" w:sz="12"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111.</w:t>
            </w:r>
          </w:p>
        </w:tc>
        <w:tc>
          <w:tcPr>
            <w:tcW w:w="3180" w:type="dxa"/>
            <w:tcBorders>
              <w:top w:val="single" w:sz="8" w:space="0" w:color="BABABA"/>
              <w:left w:val="single" w:sz="8" w:space="0" w:color="DADADA"/>
              <w:bottom w:val="single" w:sz="12"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US I-3028/2025</w:t>
            </w:r>
          </w:p>
        </w:tc>
        <w:tc>
          <w:tcPr>
            <w:tcW w:w="2560" w:type="dxa"/>
            <w:tcBorders>
              <w:top w:val="single" w:sz="8" w:space="0" w:color="BABABA"/>
              <w:left w:val="single" w:sz="8" w:space="0" w:color="DADADA"/>
              <w:bottom w:val="single" w:sz="12" w:space="0" w:color="BABABA"/>
              <w:right w:val="single" w:sz="8"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pPr>
            <w:r w:rsidRPr="00A8245B">
              <w:t>ukidanje licencije</w:t>
            </w:r>
          </w:p>
        </w:tc>
        <w:tc>
          <w:tcPr>
            <w:tcW w:w="2560" w:type="dxa"/>
            <w:tcBorders>
              <w:top w:val="single" w:sz="8" w:space="0" w:color="BABABA"/>
              <w:left w:val="single" w:sz="8" w:space="0" w:color="DADADA"/>
              <w:bottom w:val="single" w:sz="12" w:space="0" w:color="BABABA"/>
              <w:right w:val="single" w:sz="12" w:space="0" w:color="BABABA"/>
            </w:tcBorders>
            <w:shd w:val="clear" w:color="auto" w:fill="auto"/>
            <w:tcMar>
              <w:top w:w="0" w:type="dxa"/>
              <w:bottom w:w="0" w:type="dxa"/>
            </w:tcMar>
            <w:vAlign w:val="center"/>
          </w:tcPr>
          <w:p w:rsidR="0085232F" w:rsidRPr="00A8245B" w:rsidRDefault="0085232F" w:rsidP="0085232F">
            <w:pPr>
              <w:keepNext/>
              <w:keepLines/>
              <w:spacing w:after="0" w:line="240" w:lineRule="auto"/>
              <w:jc w:val="right"/>
            </w:pPr>
            <w:r w:rsidRPr="00A8245B">
              <w:t xml:space="preserve">                1.250,00 € </w:t>
            </w:r>
          </w:p>
        </w:tc>
      </w:tr>
    </w:tbl>
    <w:p w:rsidR="0085232F" w:rsidRDefault="0085232F" w:rsidP="0085232F">
      <w:pPr>
        <w:spacing w:after="120"/>
      </w:pPr>
    </w:p>
    <w:sectPr w:rsidR="0085232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FBC" w:rsidRDefault="004B7FBC" w:rsidP="0085232F">
      <w:pPr>
        <w:spacing w:after="0" w:line="240" w:lineRule="auto"/>
      </w:pPr>
      <w:r>
        <w:separator/>
      </w:r>
    </w:p>
  </w:endnote>
  <w:endnote w:type="continuationSeparator" w:id="0">
    <w:p w:rsidR="004B7FBC" w:rsidRDefault="004B7FBC" w:rsidP="0085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74151058"/>
      <w:docPartObj>
        <w:docPartGallery w:val="Page Numbers (Bottom of Page)"/>
        <w:docPartUnique/>
      </w:docPartObj>
    </w:sdtPr>
    <w:sdtContent>
      <w:sdt>
        <w:sdtPr>
          <w:rPr>
            <w:sz w:val="20"/>
          </w:rPr>
          <w:id w:val="-1769616900"/>
          <w:docPartObj>
            <w:docPartGallery w:val="Page Numbers (Top of Page)"/>
            <w:docPartUnique/>
          </w:docPartObj>
        </w:sdtPr>
        <w:sdtContent>
          <w:p w:rsidR="006757D9" w:rsidRPr="0085232F" w:rsidRDefault="006757D9">
            <w:pPr>
              <w:pStyle w:val="Footer"/>
              <w:jc w:val="right"/>
              <w:rPr>
                <w:sz w:val="20"/>
              </w:rPr>
            </w:pPr>
            <w:r w:rsidRPr="0085232F">
              <w:rPr>
                <w:sz w:val="20"/>
              </w:rPr>
              <w:t>Str</w:t>
            </w:r>
            <w:r>
              <w:rPr>
                <w:sz w:val="20"/>
              </w:rPr>
              <w:t>.</w:t>
            </w:r>
            <w:r w:rsidRPr="0085232F">
              <w:rPr>
                <w:sz w:val="20"/>
              </w:rPr>
              <w:t xml:space="preserve"> </w:t>
            </w:r>
            <w:r w:rsidRPr="0085232F">
              <w:rPr>
                <w:b/>
                <w:bCs/>
                <w:sz w:val="20"/>
                <w:szCs w:val="24"/>
              </w:rPr>
              <w:fldChar w:fldCharType="begin"/>
            </w:r>
            <w:r w:rsidRPr="0085232F">
              <w:rPr>
                <w:b/>
                <w:bCs/>
                <w:sz w:val="20"/>
              </w:rPr>
              <w:instrText xml:space="preserve"> PAGE </w:instrText>
            </w:r>
            <w:r w:rsidRPr="0085232F">
              <w:rPr>
                <w:b/>
                <w:bCs/>
                <w:sz w:val="20"/>
                <w:szCs w:val="24"/>
              </w:rPr>
              <w:fldChar w:fldCharType="separate"/>
            </w:r>
            <w:r w:rsidR="00D97A7C">
              <w:rPr>
                <w:b/>
                <w:bCs/>
                <w:noProof/>
                <w:sz w:val="20"/>
              </w:rPr>
              <w:t>22</w:t>
            </w:r>
            <w:r w:rsidRPr="0085232F">
              <w:rPr>
                <w:b/>
                <w:bCs/>
                <w:sz w:val="20"/>
                <w:szCs w:val="24"/>
              </w:rPr>
              <w:fldChar w:fldCharType="end"/>
            </w:r>
            <w:r w:rsidRPr="0085232F">
              <w:rPr>
                <w:sz w:val="20"/>
              </w:rPr>
              <w:t xml:space="preserve"> od </w:t>
            </w:r>
            <w:r w:rsidRPr="0085232F">
              <w:rPr>
                <w:b/>
                <w:bCs/>
                <w:sz w:val="20"/>
                <w:szCs w:val="24"/>
              </w:rPr>
              <w:fldChar w:fldCharType="begin"/>
            </w:r>
            <w:r w:rsidRPr="0085232F">
              <w:rPr>
                <w:b/>
                <w:bCs/>
                <w:sz w:val="20"/>
              </w:rPr>
              <w:instrText xml:space="preserve"> NUMPAGES  </w:instrText>
            </w:r>
            <w:r w:rsidRPr="0085232F">
              <w:rPr>
                <w:b/>
                <w:bCs/>
                <w:sz w:val="20"/>
                <w:szCs w:val="24"/>
              </w:rPr>
              <w:fldChar w:fldCharType="separate"/>
            </w:r>
            <w:r w:rsidR="00D97A7C">
              <w:rPr>
                <w:b/>
                <w:bCs/>
                <w:noProof/>
                <w:sz w:val="20"/>
              </w:rPr>
              <w:t>24</w:t>
            </w:r>
            <w:r w:rsidRPr="0085232F">
              <w:rPr>
                <w:b/>
                <w:bCs/>
                <w:sz w:val="20"/>
                <w:szCs w:val="24"/>
              </w:rPr>
              <w:fldChar w:fldCharType="end"/>
            </w:r>
          </w:p>
        </w:sdtContent>
      </w:sdt>
    </w:sdtContent>
  </w:sdt>
  <w:p w:rsidR="006757D9" w:rsidRDefault="00675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FBC" w:rsidRDefault="004B7FBC" w:rsidP="0085232F">
      <w:pPr>
        <w:spacing w:after="0" w:line="240" w:lineRule="auto"/>
      </w:pPr>
      <w:r>
        <w:separator/>
      </w:r>
    </w:p>
  </w:footnote>
  <w:footnote w:type="continuationSeparator" w:id="0">
    <w:p w:rsidR="004B7FBC" w:rsidRDefault="004B7FBC" w:rsidP="008523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65"/>
    <w:rsid w:val="000B5F65"/>
    <w:rsid w:val="0016462E"/>
    <w:rsid w:val="004B7FBC"/>
    <w:rsid w:val="006757D9"/>
    <w:rsid w:val="0085232F"/>
    <w:rsid w:val="00D97A7C"/>
    <w:rsid w:val="00F270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7DF6"/>
  <w15:docId w15:val="{3DE29AC5-74BB-4A42-9FD7-8C6C8477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32F"/>
    <w:pPr>
      <w:tabs>
        <w:tab w:val="center" w:pos="4703"/>
        <w:tab w:val="right" w:pos="9406"/>
      </w:tabs>
      <w:spacing w:after="0" w:line="240" w:lineRule="auto"/>
    </w:pPr>
  </w:style>
  <w:style w:type="character" w:customStyle="1" w:styleId="HeaderChar">
    <w:name w:val="Header Char"/>
    <w:basedOn w:val="DefaultParagraphFont"/>
    <w:link w:val="Header"/>
    <w:uiPriority w:val="99"/>
    <w:rsid w:val="0085232F"/>
  </w:style>
  <w:style w:type="paragraph" w:styleId="Footer">
    <w:name w:val="footer"/>
    <w:basedOn w:val="Normal"/>
    <w:link w:val="FooterChar"/>
    <w:uiPriority w:val="99"/>
    <w:unhideWhenUsed/>
    <w:rsid w:val="0085232F"/>
    <w:pPr>
      <w:tabs>
        <w:tab w:val="center" w:pos="4703"/>
        <w:tab w:val="right" w:pos="9406"/>
      </w:tabs>
      <w:spacing w:after="0" w:line="240" w:lineRule="auto"/>
    </w:pPr>
  </w:style>
  <w:style w:type="character" w:customStyle="1" w:styleId="FooterChar">
    <w:name w:val="Footer Char"/>
    <w:basedOn w:val="DefaultParagraphFont"/>
    <w:link w:val="Footer"/>
    <w:uiPriority w:val="99"/>
    <w:rsid w:val="0085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8231C-ADE5-4C75-A002-7B687B9D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8229</Words>
  <Characters>46909</Characters>
  <Application>Microsoft Office Word</Application>
  <DocSecurity>0</DocSecurity>
  <Lines>390</Lines>
  <Paragraphs>110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Ministarstvo mora, prometa i infrastrukture</Company>
  <LinksUpToDate>false</LinksUpToDate>
  <CharactersWithSpaces>55028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Bočkal</dc:creator>
  <cp:lastModifiedBy>Tajana Tomljanović</cp:lastModifiedBy>
  <cp:revision>3</cp:revision>
  <dcterms:created xsi:type="dcterms:W3CDTF">2026-02-05T10:37:00Z</dcterms:created>
  <dcterms:modified xsi:type="dcterms:W3CDTF">2026-02-05T10:49:00Z</dcterms:modified>
</cp:coreProperties>
</file>